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73" w:rsidRPr="006B24E1" w:rsidRDefault="00AE0D73" w:rsidP="00F70B45">
      <w:pPr>
        <w:jc w:val="center"/>
      </w:pPr>
      <w:r w:rsidRPr="006B24E1">
        <w:t xml:space="preserve">АДМИНИСТРАЦИЯ КИПСКОГО </w:t>
      </w:r>
      <w:proofErr w:type="gramStart"/>
      <w:r w:rsidRPr="006B24E1">
        <w:t>СЕЛЬСКОГО</w:t>
      </w:r>
      <w:proofErr w:type="gramEnd"/>
    </w:p>
    <w:p w:rsidR="00AE0D73" w:rsidRPr="006B24E1" w:rsidRDefault="00AE0D73" w:rsidP="00F70B45">
      <w:pPr>
        <w:jc w:val="center"/>
      </w:pPr>
      <w:r w:rsidRPr="006B24E1">
        <w:t>ПОСЕЛЕНИЯ ТЕВРИЗСКОГО МУНИЦИПАЛЬНОГО РАЙОНА</w:t>
      </w:r>
    </w:p>
    <w:p w:rsidR="00AE0D73" w:rsidRPr="006B24E1" w:rsidRDefault="00AE0D73" w:rsidP="00F70B45">
      <w:pPr>
        <w:jc w:val="center"/>
      </w:pPr>
      <w:r w:rsidRPr="006B24E1">
        <w:t>ОМСКОЙ ОБЛАСТИ</w:t>
      </w:r>
    </w:p>
    <w:p w:rsidR="00AE0D73" w:rsidRPr="006B24E1" w:rsidRDefault="00AE0D73" w:rsidP="00F70B45">
      <w:pPr>
        <w:jc w:val="center"/>
      </w:pPr>
    </w:p>
    <w:p w:rsidR="00AE0D73" w:rsidRPr="006B24E1" w:rsidRDefault="00AE0D73" w:rsidP="00F70B45">
      <w:pPr>
        <w:jc w:val="center"/>
      </w:pPr>
    </w:p>
    <w:p w:rsidR="00AE0D73" w:rsidRPr="006B24E1" w:rsidRDefault="00AE0D73" w:rsidP="00F70B45">
      <w:pPr>
        <w:jc w:val="center"/>
      </w:pPr>
    </w:p>
    <w:p w:rsidR="00AE0D73" w:rsidRPr="006B24E1" w:rsidRDefault="00AE0D73" w:rsidP="00F70B45">
      <w:pPr>
        <w:jc w:val="center"/>
      </w:pPr>
      <w:r w:rsidRPr="006B24E1">
        <w:t>ПОСТАНОВЛЕНИЕ</w:t>
      </w:r>
    </w:p>
    <w:p w:rsidR="00AE0D73" w:rsidRDefault="00AE0D73" w:rsidP="00F70B45">
      <w:pPr>
        <w:jc w:val="center"/>
      </w:pPr>
    </w:p>
    <w:p w:rsidR="00AE0D73" w:rsidRPr="006B24E1" w:rsidRDefault="00AE0D73" w:rsidP="00F70B45">
      <w:pPr>
        <w:jc w:val="both"/>
      </w:pPr>
      <w:r w:rsidRPr="006B24E1">
        <w:t xml:space="preserve">« </w:t>
      </w:r>
      <w:r w:rsidR="002E43A1" w:rsidRPr="006B24E1">
        <w:t>31</w:t>
      </w:r>
      <w:r w:rsidRPr="006B24E1">
        <w:t xml:space="preserve">» </w:t>
      </w:r>
      <w:r w:rsidR="002E43A1" w:rsidRPr="006B24E1">
        <w:t>января</w:t>
      </w:r>
      <w:r w:rsidR="00805B07" w:rsidRPr="006B24E1">
        <w:t xml:space="preserve"> 202</w:t>
      </w:r>
      <w:r w:rsidR="002E43A1" w:rsidRPr="006B24E1">
        <w:t>3</w:t>
      </w:r>
      <w:r w:rsidR="00805B07" w:rsidRPr="006B24E1">
        <w:t>г</w:t>
      </w:r>
      <w:r w:rsidR="006B24E1">
        <w:t xml:space="preserve">                                                                                                       </w:t>
      </w:r>
      <w:r w:rsidRPr="006B24E1">
        <w:t>№</w:t>
      </w:r>
      <w:r w:rsidR="006B24E1">
        <w:t xml:space="preserve"> </w:t>
      </w:r>
      <w:r w:rsidR="002E43A1" w:rsidRPr="006B24E1">
        <w:t>5</w:t>
      </w:r>
      <w:r w:rsidRPr="006B24E1">
        <w:t>-п</w:t>
      </w:r>
    </w:p>
    <w:p w:rsidR="00AE0D73" w:rsidRDefault="00AE0D73" w:rsidP="00F70B45">
      <w:pPr>
        <w:jc w:val="both"/>
      </w:pPr>
    </w:p>
    <w:p w:rsidR="00AE0D73" w:rsidRPr="006B24E1" w:rsidRDefault="00AE0D73" w:rsidP="00F70B45">
      <w:pPr>
        <w:jc w:val="center"/>
        <w:rPr>
          <w:sz w:val="28"/>
          <w:szCs w:val="28"/>
          <w:lang w:eastAsia="en-US"/>
        </w:rPr>
      </w:pPr>
      <w:r w:rsidRPr="006B24E1">
        <w:rPr>
          <w:sz w:val="28"/>
          <w:szCs w:val="28"/>
          <w:lang w:eastAsia="en-US"/>
        </w:rPr>
        <w:t xml:space="preserve">Об утверждении бюджетного прогноза </w:t>
      </w:r>
      <w:proofErr w:type="spellStart"/>
      <w:r w:rsidRPr="006B24E1">
        <w:rPr>
          <w:sz w:val="28"/>
          <w:szCs w:val="28"/>
          <w:lang w:eastAsia="en-US"/>
        </w:rPr>
        <w:t>Кипского</w:t>
      </w:r>
      <w:proofErr w:type="spellEnd"/>
      <w:r w:rsidRPr="006B24E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6B24E1">
        <w:rPr>
          <w:sz w:val="28"/>
          <w:szCs w:val="28"/>
        </w:rPr>
        <w:t>Тевризского</w:t>
      </w:r>
      <w:proofErr w:type="spellEnd"/>
      <w:r w:rsidRPr="006B24E1">
        <w:rPr>
          <w:sz w:val="28"/>
          <w:szCs w:val="28"/>
        </w:rPr>
        <w:t xml:space="preserve"> муниципального района Омской области</w:t>
      </w:r>
      <w:r w:rsidR="006B24E1">
        <w:rPr>
          <w:sz w:val="28"/>
          <w:szCs w:val="28"/>
        </w:rPr>
        <w:t xml:space="preserve"> </w:t>
      </w:r>
      <w:r w:rsidRPr="006B24E1">
        <w:rPr>
          <w:sz w:val="28"/>
          <w:szCs w:val="28"/>
          <w:lang w:eastAsia="en-US"/>
        </w:rPr>
        <w:t xml:space="preserve">на долгосрочный период до 2023 года </w:t>
      </w:r>
    </w:p>
    <w:p w:rsidR="00AE0D73" w:rsidRDefault="00AE0D73" w:rsidP="00F70B45">
      <w:pPr>
        <w:jc w:val="center"/>
      </w:pPr>
    </w:p>
    <w:p w:rsidR="00AE0D73" w:rsidRDefault="00AE0D73" w:rsidP="00700352">
      <w:pPr>
        <w:jc w:val="both"/>
        <w:rPr>
          <w:sz w:val="28"/>
          <w:szCs w:val="28"/>
        </w:rPr>
      </w:pPr>
      <w:r w:rsidRPr="00F70B45">
        <w:rPr>
          <w:sz w:val="28"/>
          <w:szCs w:val="28"/>
        </w:rPr>
        <w:t xml:space="preserve">В соответствии с </w:t>
      </w:r>
      <w:hyperlink r:id="rId5" w:history="1">
        <w:r w:rsidRPr="00F70B45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</w:t>
      </w:r>
      <w:r w:rsidRPr="00F70B4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F70B4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27.06.2016 N42-п  </w:t>
      </w:r>
      <w:r>
        <w:t>«</w:t>
      </w:r>
      <w:r w:rsidRPr="00F70B45">
        <w:rPr>
          <w:sz w:val="28"/>
          <w:szCs w:val="28"/>
        </w:rPr>
        <w:t>Об утверждении Порядка разработки и утверждения, периода действия</w:t>
      </w:r>
      <w:proofErr w:type="gramStart"/>
      <w:r w:rsidRPr="00F70B45">
        <w:rPr>
          <w:sz w:val="28"/>
          <w:szCs w:val="28"/>
        </w:rPr>
        <w:t>,а</w:t>
      </w:r>
      <w:proofErr w:type="gramEnd"/>
      <w:r w:rsidRPr="00F70B45">
        <w:rPr>
          <w:sz w:val="28"/>
          <w:szCs w:val="28"/>
        </w:rPr>
        <w:t xml:space="preserve"> также требований к составу и содержанию бюджетного прогноза </w:t>
      </w:r>
      <w:proofErr w:type="spellStart"/>
      <w:r w:rsidRPr="00F70B45">
        <w:rPr>
          <w:sz w:val="28"/>
          <w:szCs w:val="28"/>
        </w:rPr>
        <w:t>Кипскогосельского</w:t>
      </w:r>
      <w:proofErr w:type="spellEnd"/>
      <w:r w:rsidRPr="00F70B45">
        <w:rPr>
          <w:sz w:val="28"/>
          <w:szCs w:val="28"/>
        </w:rPr>
        <w:t xml:space="preserve"> поселения </w:t>
      </w:r>
      <w:proofErr w:type="spellStart"/>
      <w:r w:rsidRPr="00F70B45">
        <w:rPr>
          <w:sz w:val="28"/>
          <w:szCs w:val="28"/>
        </w:rPr>
        <w:t>Тевризского</w:t>
      </w:r>
      <w:proofErr w:type="spellEnd"/>
      <w:r w:rsidRPr="00F70B45">
        <w:rPr>
          <w:sz w:val="28"/>
          <w:szCs w:val="28"/>
        </w:rPr>
        <w:t xml:space="preserve"> муниципального района Омской области», в целях осуществления долгосрочного бюджетного планирования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Кипском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F70B45">
        <w:rPr>
          <w:sz w:val="28"/>
          <w:szCs w:val="28"/>
        </w:rPr>
        <w:t>,</w:t>
      </w:r>
    </w:p>
    <w:p w:rsidR="00700352" w:rsidRPr="00F70B45" w:rsidRDefault="00700352" w:rsidP="00700352">
      <w:pPr>
        <w:jc w:val="both"/>
        <w:rPr>
          <w:sz w:val="28"/>
          <w:szCs w:val="28"/>
        </w:rPr>
      </w:pPr>
    </w:p>
    <w:p w:rsidR="00AE0D73" w:rsidRPr="006B24E1" w:rsidRDefault="00AE0D73" w:rsidP="0070035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6B24E1">
        <w:rPr>
          <w:sz w:val="28"/>
          <w:szCs w:val="28"/>
          <w:lang w:eastAsia="en-US"/>
        </w:rPr>
        <w:t>ПОСТАНОВЛЯЮ:</w:t>
      </w:r>
    </w:p>
    <w:p w:rsidR="00AE0D73" w:rsidRPr="00805B07" w:rsidRDefault="00805B07" w:rsidP="0080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5B07">
        <w:rPr>
          <w:sz w:val="28"/>
          <w:szCs w:val="28"/>
        </w:rPr>
        <w:t>1.</w:t>
      </w:r>
      <w:r w:rsidR="00AE0D73" w:rsidRPr="00805B07">
        <w:rPr>
          <w:sz w:val="28"/>
          <w:szCs w:val="28"/>
        </w:rPr>
        <w:t xml:space="preserve">Утвердить бюджетный </w:t>
      </w:r>
      <w:hyperlink w:anchor="P26" w:history="1">
        <w:proofErr w:type="spellStart"/>
        <w:r w:rsidR="00AE0D73" w:rsidRPr="00805B07">
          <w:rPr>
            <w:sz w:val="28"/>
            <w:szCs w:val="28"/>
          </w:rPr>
          <w:t>прогноз</w:t>
        </w:r>
      </w:hyperlink>
      <w:r w:rsidR="00AE0D73" w:rsidRPr="00805B07">
        <w:rPr>
          <w:sz w:val="28"/>
          <w:szCs w:val="28"/>
          <w:lang w:eastAsia="en-US"/>
        </w:rPr>
        <w:t>Кипского</w:t>
      </w:r>
      <w:proofErr w:type="spellEnd"/>
      <w:r w:rsidR="00AE0D73" w:rsidRPr="00805B0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AE0D73" w:rsidRPr="00805B07">
        <w:rPr>
          <w:sz w:val="28"/>
          <w:szCs w:val="28"/>
        </w:rPr>
        <w:t>Тевризского</w:t>
      </w:r>
      <w:proofErr w:type="spellEnd"/>
      <w:r w:rsidR="00AE0D73" w:rsidRPr="00805B07">
        <w:rPr>
          <w:sz w:val="28"/>
          <w:szCs w:val="28"/>
        </w:rPr>
        <w:t xml:space="preserve"> муниципального района </w:t>
      </w:r>
      <w:proofErr w:type="gramStart"/>
      <w:r w:rsidR="00AE0D73" w:rsidRPr="00805B07">
        <w:rPr>
          <w:sz w:val="28"/>
          <w:szCs w:val="28"/>
        </w:rPr>
        <w:t>Омской</w:t>
      </w:r>
      <w:proofErr w:type="gramEnd"/>
      <w:r w:rsidR="00AE0D73" w:rsidRPr="00805B07">
        <w:rPr>
          <w:sz w:val="28"/>
          <w:szCs w:val="28"/>
        </w:rPr>
        <w:t xml:space="preserve"> областина долгосрочный период до 2023 года (приложение №1).</w:t>
      </w:r>
    </w:p>
    <w:p w:rsidR="00805B07" w:rsidRPr="00805B07" w:rsidRDefault="00805B07" w:rsidP="00805B07">
      <w:pPr>
        <w:ind w:firstLine="709"/>
        <w:rPr>
          <w:sz w:val="28"/>
          <w:szCs w:val="28"/>
        </w:rPr>
      </w:pPr>
      <w:r w:rsidRPr="00805B07">
        <w:rPr>
          <w:sz w:val="28"/>
          <w:szCs w:val="28"/>
        </w:rPr>
        <w:t xml:space="preserve">2. </w:t>
      </w:r>
      <w:r w:rsidR="00754561">
        <w:rPr>
          <w:sz w:val="28"/>
          <w:szCs w:val="28"/>
        </w:rPr>
        <w:t>Постановление № 19</w:t>
      </w:r>
      <w:r w:rsidR="00356B9B">
        <w:rPr>
          <w:sz w:val="28"/>
          <w:szCs w:val="28"/>
        </w:rPr>
        <w:t>-п от 25</w:t>
      </w:r>
      <w:r>
        <w:rPr>
          <w:sz w:val="28"/>
          <w:szCs w:val="28"/>
        </w:rPr>
        <w:t>.02.20</w:t>
      </w:r>
      <w:r w:rsidR="00356B9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считать утратившим силу.</w:t>
      </w:r>
    </w:p>
    <w:p w:rsidR="00AE0D73" w:rsidRPr="00F70B45" w:rsidRDefault="00C03401" w:rsidP="00F70B4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E0D73" w:rsidRPr="00805B07">
        <w:rPr>
          <w:sz w:val="28"/>
          <w:szCs w:val="28"/>
          <w:lang w:eastAsia="en-US"/>
        </w:rPr>
        <w:t xml:space="preserve">. </w:t>
      </w:r>
      <w:r w:rsidR="00AE0D73" w:rsidRPr="00805B07">
        <w:rPr>
          <w:sz w:val="28"/>
          <w:szCs w:val="28"/>
        </w:rPr>
        <w:t>Опубликовать</w:t>
      </w:r>
      <w:r w:rsidR="00AE0D73" w:rsidRPr="00192160">
        <w:rPr>
          <w:sz w:val="28"/>
          <w:szCs w:val="28"/>
        </w:rPr>
        <w:t xml:space="preserve"> настоящее Постановление в печатном органе «Официальный бюллетень органов местного самоуправления </w:t>
      </w:r>
      <w:proofErr w:type="spellStart"/>
      <w:r w:rsidR="00AE0D73" w:rsidRPr="00192160">
        <w:rPr>
          <w:sz w:val="28"/>
          <w:szCs w:val="28"/>
        </w:rPr>
        <w:t>Кипского</w:t>
      </w:r>
      <w:proofErr w:type="spellEnd"/>
      <w:r w:rsidR="00AE0D73" w:rsidRPr="00192160">
        <w:rPr>
          <w:sz w:val="28"/>
          <w:szCs w:val="28"/>
        </w:rPr>
        <w:t xml:space="preserve"> сельского поселения» и на официальном сайте omskportal.ru.</w:t>
      </w:r>
      <w:r w:rsidR="00AE0D73" w:rsidRPr="00F70B45">
        <w:rPr>
          <w:sz w:val="28"/>
          <w:szCs w:val="28"/>
          <w:lang w:eastAsia="en-US"/>
        </w:rPr>
        <w:t>.</w:t>
      </w: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Pr="00192160" w:rsidRDefault="00AE0D73" w:rsidP="00F70B45">
      <w:pPr>
        <w:jc w:val="both"/>
        <w:rPr>
          <w:sz w:val="28"/>
          <w:szCs w:val="28"/>
        </w:rPr>
      </w:pPr>
      <w:r w:rsidRPr="00192160">
        <w:rPr>
          <w:sz w:val="28"/>
          <w:szCs w:val="28"/>
        </w:rPr>
        <w:t xml:space="preserve">Глава </w:t>
      </w:r>
      <w:proofErr w:type="spellStart"/>
      <w:r w:rsidRPr="00192160">
        <w:rPr>
          <w:sz w:val="28"/>
          <w:szCs w:val="28"/>
        </w:rPr>
        <w:t>Кипского</w:t>
      </w:r>
      <w:proofErr w:type="spellEnd"/>
      <w:r w:rsidRPr="00192160">
        <w:rPr>
          <w:sz w:val="28"/>
          <w:szCs w:val="28"/>
        </w:rPr>
        <w:t xml:space="preserve"> сельского поселения </w:t>
      </w:r>
    </w:p>
    <w:p w:rsidR="00AE0D73" w:rsidRPr="00192160" w:rsidRDefault="00AE0D73" w:rsidP="00F70B45">
      <w:pPr>
        <w:jc w:val="both"/>
        <w:rPr>
          <w:sz w:val="28"/>
          <w:szCs w:val="28"/>
        </w:rPr>
      </w:pPr>
      <w:proofErr w:type="spellStart"/>
      <w:r w:rsidRPr="00192160">
        <w:rPr>
          <w:sz w:val="28"/>
          <w:szCs w:val="28"/>
        </w:rPr>
        <w:t>Тевризского</w:t>
      </w:r>
      <w:proofErr w:type="spellEnd"/>
      <w:r w:rsidRPr="00192160">
        <w:rPr>
          <w:sz w:val="28"/>
          <w:szCs w:val="28"/>
        </w:rPr>
        <w:t xml:space="preserve"> муниципального района </w:t>
      </w:r>
    </w:p>
    <w:p w:rsidR="00AE0D73" w:rsidRPr="00192160" w:rsidRDefault="00AE0D73" w:rsidP="00F70B45">
      <w:pPr>
        <w:rPr>
          <w:sz w:val="28"/>
          <w:szCs w:val="28"/>
        </w:rPr>
      </w:pPr>
      <w:r w:rsidRPr="00192160">
        <w:rPr>
          <w:sz w:val="28"/>
          <w:szCs w:val="28"/>
        </w:rPr>
        <w:t xml:space="preserve">Омской области                                                                           Н.Ш. </w:t>
      </w:r>
      <w:proofErr w:type="spellStart"/>
      <w:r w:rsidRPr="00192160">
        <w:rPr>
          <w:sz w:val="28"/>
          <w:szCs w:val="28"/>
        </w:rPr>
        <w:t>Минхаиров</w:t>
      </w:r>
      <w:proofErr w:type="spellEnd"/>
    </w:p>
    <w:p w:rsidR="00AE0D73" w:rsidRPr="00F70B45" w:rsidRDefault="00AE0D73" w:rsidP="00F70B45"/>
    <w:p w:rsidR="00AE0D73" w:rsidRPr="00F70B45" w:rsidRDefault="00AE0D73" w:rsidP="00F70B45"/>
    <w:p w:rsidR="00AE0D73" w:rsidRPr="00F70B45" w:rsidRDefault="00AE0D73" w:rsidP="00F70B45"/>
    <w:p w:rsidR="00AE0D73" w:rsidRPr="00F70B45" w:rsidRDefault="00AE0D73" w:rsidP="00F70B45"/>
    <w:p w:rsidR="00AE0D73" w:rsidRDefault="00AE0D73" w:rsidP="00F70B45"/>
    <w:p w:rsidR="00AE0D73" w:rsidRDefault="00AE0D73" w:rsidP="00F70B45">
      <w:pPr>
        <w:tabs>
          <w:tab w:val="left" w:pos="7140"/>
        </w:tabs>
      </w:pPr>
      <w:r>
        <w:tab/>
      </w:r>
    </w:p>
    <w:p w:rsidR="00AE0D73" w:rsidRDefault="00AE0D73" w:rsidP="00F70B45">
      <w:pPr>
        <w:tabs>
          <w:tab w:val="left" w:pos="7140"/>
        </w:tabs>
      </w:pPr>
    </w:p>
    <w:p w:rsidR="00AE0D73" w:rsidRDefault="00AE0D73" w:rsidP="00F70B45">
      <w:pPr>
        <w:tabs>
          <w:tab w:val="left" w:pos="7140"/>
        </w:tabs>
      </w:pPr>
    </w:p>
    <w:p w:rsidR="00AE0D73" w:rsidRDefault="00AE0D73" w:rsidP="00F70B45">
      <w:pPr>
        <w:tabs>
          <w:tab w:val="left" w:pos="7140"/>
        </w:tabs>
      </w:pPr>
    </w:p>
    <w:p w:rsidR="00AE0D73" w:rsidRDefault="00AE0D73" w:rsidP="00F70B45">
      <w:pPr>
        <w:tabs>
          <w:tab w:val="left" w:pos="7140"/>
        </w:tabs>
      </w:pPr>
    </w:p>
    <w:p w:rsidR="00AE0D73" w:rsidRDefault="00AE0D73" w:rsidP="00F70B45">
      <w:pPr>
        <w:tabs>
          <w:tab w:val="left" w:pos="7140"/>
        </w:tabs>
      </w:pPr>
    </w:p>
    <w:p w:rsidR="00AE0D73" w:rsidRDefault="00AE0D73" w:rsidP="00F70B45">
      <w:pPr>
        <w:tabs>
          <w:tab w:val="left" w:pos="7140"/>
        </w:tabs>
      </w:pPr>
    </w:p>
    <w:p w:rsidR="00AE0D73" w:rsidRDefault="00AE0D73" w:rsidP="00192160">
      <w:pPr>
        <w:tabs>
          <w:tab w:val="left" w:pos="7140"/>
        </w:tabs>
        <w:jc w:val="right"/>
      </w:pPr>
      <w:r>
        <w:t>Приложение</w:t>
      </w:r>
      <w:r w:rsidR="006B24E1">
        <w:t xml:space="preserve"> </w:t>
      </w:r>
      <w:r>
        <w:t>№1</w:t>
      </w:r>
    </w:p>
    <w:p w:rsidR="00AE0D73" w:rsidRPr="00192160" w:rsidRDefault="00AE0D73" w:rsidP="00F70B45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216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9216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AE0D73" w:rsidRPr="00192160" w:rsidRDefault="00AE0D73" w:rsidP="00192160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192160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19216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192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0D73" w:rsidRPr="00192160" w:rsidRDefault="00AE0D73" w:rsidP="00F70B45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192160">
        <w:rPr>
          <w:rFonts w:ascii="Times New Roman" w:hAnsi="Times New Roman" w:cs="Times New Roman"/>
          <w:sz w:val="24"/>
          <w:szCs w:val="24"/>
        </w:rPr>
        <w:t xml:space="preserve"> от</w:t>
      </w:r>
      <w:r w:rsidR="002E43A1">
        <w:rPr>
          <w:rFonts w:ascii="Times New Roman" w:hAnsi="Times New Roman" w:cs="Times New Roman"/>
          <w:sz w:val="24"/>
          <w:szCs w:val="24"/>
        </w:rPr>
        <w:t>31 января</w:t>
      </w:r>
      <w:r w:rsidR="00805B07">
        <w:rPr>
          <w:rFonts w:ascii="Times New Roman" w:hAnsi="Times New Roman" w:cs="Times New Roman"/>
          <w:sz w:val="24"/>
          <w:szCs w:val="24"/>
        </w:rPr>
        <w:t xml:space="preserve"> 202</w:t>
      </w:r>
      <w:r w:rsidR="002E43A1">
        <w:rPr>
          <w:rFonts w:ascii="Times New Roman" w:hAnsi="Times New Roman" w:cs="Times New Roman"/>
          <w:sz w:val="24"/>
          <w:szCs w:val="24"/>
        </w:rPr>
        <w:t>3</w:t>
      </w:r>
      <w:r w:rsidRPr="00192160">
        <w:rPr>
          <w:rFonts w:ascii="Times New Roman" w:hAnsi="Times New Roman" w:cs="Times New Roman"/>
          <w:sz w:val="24"/>
          <w:szCs w:val="24"/>
        </w:rPr>
        <w:t xml:space="preserve"> г</w:t>
      </w:r>
      <w:r w:rsidR="00356B9B">
        <w:rPr>
          <w:rFonts w:ascii="Times New Roman" w:hAnsi="Times New Roman" w:cs="Times New Roman"/>
          <w:sz w:val="24"/>
          <w:szCs w:val="24"/>
        </w:rPr>
        <w:t xml:space="preserve">. </w:t>
      </w:r>
      <w:r w:rsidR="002E43A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</w:t>
      </w:r>
    </w:p>
    <w:p w:rsidR="00AE0D73" w:rsidRPr="006B24E1" w:rsidRDefault="00AE0D73" w:rsidP="00F70B45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</w:p>
    <w:p w:rsidR="00AE0D73" w:rsidRPr="006B24E1" w:rsidRDefault="00AE0D73" w:rsidP="00F70B45">
      <w:pPr>
        <w:pStyle w:val="ConsPlusTitle"/>
        <w:ind w:hanging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4E1">
        <w:rPr>
          <w:rFonts w:ascii="Times New Roman" w:hAnsi="Times New Roman" w:cs="Times New Roman"/>
          <w:b w:val="0"/>
          <w:sz w:val="28"/>
          <w:szCs w:val="28"/>
        </w:rPr>
        <w:t>БЮДЖЕТНЫЙ ПРОГНОЗ</w:t>
      </w:r>
    </w:p>
    <w:p w:rsidR="00AE0D73" w:rsidRPr="006B24E1" w:rsidRDefault="00AE0D73" w:rsidP="00192160">
      <w:pPr>
        <w:jc w:val="center"/>
        <w:rPr>
          <w:sz w:val="28"/>
          <w:szCs w:val="28"/>
          <w:lang w:eastAsia="en-US"/>
        </w:rPr>
      </w:pPr>
      <w:proofErr w:type="spellStart"/>
      <w:r w:rsidRPr="006B24E1">
        <w:rPr>
          <w:sz w:val="28"/>
          <w:szCs w:val="28"/>
          <w:lang w:eastAsia="en-US"/>
        </w:rPr>
        <w:t>Кипского</w:t>
      </w:r>
      <w:proofErr w:type="spellEnd"/>
      <w:r w:rsidRPr="006B24E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6B24E1">
        <w:rPr>
          <w:sz w:val="28"/>
          <w:szCs w:val="28"/>
        </w:rPr>
        <w:t>Тевризского</w:t>
      </w:r>
      <w:proofErr w:type="spellEnd"/>
      <w:r w:rsidRPr="006B24E1">
        <w:rPr>
          <w:sz w:val="28"/>
          <w:szCs w:val="28"/>
        </w:rPr>
        <w:t xml:space="preserve"> муниципального района </w:t>
      </w:r>
      <w:proofErr w:type="gramStart"/>
      <w:r w:rsidRPr="006B24E1">
        <w:rPr>
          <w:sz w:val="28"/>
          <w:szCs w:val="28"/>
        </w:rPr>
        <w:t>Омской</w:t>
      </w:r>
      <w:proofErr w:type="gramEnd"/>
      <w:r w:rsidRPr="006B24E1">
        <w:rPr>
          <w:sz w:val="28"/>
          <w:szCs w:val="28"/>
        </w:rPr>
        <w:t xml:space="preserve"> области</w:t>
      </w:r>
      <w:r w:rsidRPr="006B24E1">
        <w:rPr>
          <w:sz w:val="28"/>
          <w:szCs w:val="28"/>
          <w:lang w:eastAsia="en-US"/>
        </w:rPr>
        <w:t xml:space="preserve">на долгосрочный период до 2023 года </w:t>
      </w:r>
    </w:p>
    <w:p w:rsidR="00AE0D73" w:rsidRPr="006B24E1" w:rsidRDefault="00AE0D73" w:rsidP="00F70B45">
      <w:pPr>
        <w:pStyle w:val="ConsPlusTitle"/>
        <w:ind w:hanging="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0D73" w:rsidRPr="00C8778B" w:rsidRDefault="00AE0D73" w:rsidP="00F70B45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</w:p>
    <w:p w:rsidR="00AE0D73" w:rsidRPr="00C8778B" w:rsidRDefault="00AE0D73" w:rsidP="00192160">
      <w:pPr>
        <w:rPr>
          <w:sz w:val="28"/>
          <w:szCs w:val="28"/>
        </w:rPr>
      </w:pPr>
      <w:r w:rsidRPr="00C8778B">
        <w:rPr>
          <w:sz w:val="28"/>
          <w:szCs w:val="28"/>
        </w:rPr>
        <w:t xml:space="preserve">Бюджетный прогноз </w:t>
      </w:r>
      <w:proofErr w:type="spellStart"/>
      <w:r w:rsidRPr="00192160">
        <w:rPr>
          <w:sz w:val="28"/>
          <w:szCs w:val="28"/>
          <w:lang w:eastAsia="en-US"/>
        </w:rPr>
        <w:t>Кипского</w:t>
      </w:r>
      <w:proofErr w:type="spellEnd"/>
      <w:r w:rsidRPr="00192160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192160">
        <w:rPr>
          <w:sz w:val="28"/>
          <w:szCs w:val="28"/>
        </w:rPr>
        <w:t>Тевризского</w:t>
      </w:r>
      <w:proofErr w:type="spellEnd"/>
      <w:r w:rsidRPr="0019216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  <w:lang w:eastAsia="en-US"/>
        </w:rPr>
        <w:t>на долгосрочный период до 2023</w:t>
      </w:r>
      <w:r w:rsidRPr="00F70B45">
        <w:rPr>
          <w:sz w:val="28"/>
          <w:szCs w:val="28"/>
          <w:lang w:eastAsia="en-US"/>
        </w:rPr>
        <w:t xml:space="preserve"> года</w:t>
      </w:r>
      <w:r w:rsidRPr="00C8778B">
        <w:rPr>
          <w:sz w:val="28"/>
          <w:szCs w:val="28"/>
        </w:rPr>
        <w:t>(далее - бюджетный прогноз) разработан в условиях налогового и бюджетного законодательства, действующего на момент его составления.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78B">
        <w:rPr>
          <w:rFonts w:ascii="Times New Roman" w:hAnsi="Times New Roman" w:cs="Times New Roman"/>
          <w:sz w:val="28"/>
          <w:szCs w:val="28"/>
        </w:rPr>
        <w:t>Целью долгосрочного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92160"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8778B">
        <w:rPr>
          <w:rFonts w:ascii="Times New Roman" w:hAnsi="Times New Roman" w:cs="Times New Roman"/>
          <w:sz w:val="28"/>
          <w:szCs w:val="28"/>
        </w:rPr>
        <w:t xml:space="preserve">является обеспечение предсказуемости динамики доходов и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778B">
        <w:rPr>
          <w:rFonts w:ascii="Times New Roman" w:hAnsi="Times New Roman" w:cs="Times New Roman"/>
          <w:sz w:val="28"/>
          <w:szCs w:val="28"/>
        </w:rPr>
        <w:t xml:space="preserve">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77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778B">
        <w:rPr>
          <w:rFonts w:ascii="Times New Roman" w:hAnsi="Times New Roman" w:cs="Times New Roman"/>
          <w:sz w:val="28"/>
          <w:szCs w:val="28"/>
        </w:rPr>
        <w:t>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8778B">
        <w:rPr>
          <w:rFonts w:ascii="Times New Roman" w:hAnsi="Times New Roman" w:cs="Times New Roman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778B">
        <w:rPr>
          <w:rFonts w:ascii="Times New Roman" w:hAnsi="Times New Roman" w:cs="Times New Roman"/>
          <w:sz w:val="28"/>
          <w:szCs w:val="28"/>
        </w:rPr>
        <w:t>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устойчивость.</w:t>
      </w:r>
    </w:p>
    <w:p w:rsidR="00AE0D73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>В целом долгосрочная бюджетная политика по формированию доходов бюджета будет основана на следующих подходах:</w:t>
      </w:r>
    </w:p>
    <w:p w:rsidR="00AE0D73" w:rsidRDefault="00AE0D73" w:rsidP="00F70B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роста экономических показателей;</w:t>
      </w:r>
    </w:p>
    <w:p w:rsidR="00AE0D73" w:rsidRDefault="00AE0D73" w:rsidP="00F70B4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AE0D73" w:rsidRDefault="00AE0D73" w:rsidP="00F70B4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качественное администрирование доходов бюджета сельского поселения;</w:t>
      </w:r>
    </w:p>
    <w:p w:rsidR="00AE0D73" w:rsidRDefault="00AE0D73" w:rsidP="00F70B4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управление муниципальной собственностью сельского поселения.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Налоговая система, а также доходы от управления имуществом должны обеспечить достижение основной цели - формирование бюджетных доходов </w:t>
      </w:r>
      <w:r w:rsidRPr="00C8778B">
        <w:rPr>
          <w:rFonts w:ascii="Times New Roman" w:hAnsi="Times New Roman" w:cs="Times New Roman"/>
          <w:sz w:val="28"/>
          <w:szCs w:val="28"/>
        </w:rPr>
        <w:lastRenderedPageBreak/>
        <w:t>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При формировании и реализации бюджетной </w:t>
      </w:r>
      <w:proofErr w:type="gramStart"/>
      <w:r w:rsidRPr="00C8778B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C8778B">
        <w:rPr>
          <w:rFonts w:ascii="Times New Roman" w:hAnsi="Times New Roman" w:cs="Times New Roman"/>
          <w:sz w:val="28"/>
          <w:szCs w:val="28"/>
        </w:rPr>
        <w:t xml:space="preserve"> долгосрочный период необходимо исходить из решения следующих основных задач: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>1) реализация эффективной бюджетной политики, направленной на долгосрочную устойчивость и сбалансированность местного бюджета, укрепление их доходной базы, формирование оптимальной структуры расходов бюджетов;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778B">
        <w:rPr>
          <w:rFonts w:ascii="Times New Roman" w:hAnsi="Times New Roman" w:cs="Times New Roman"/>
          <w:sz w:val="28"/>
          <w:szCs w:val="28"/>
        </w:rPr>
        <w:t xml:space="preserve">) повышение эффективности бюджетных расходов, формирование бюджетных параметров исходя из четкой </w:t>
      </w:r>
      <w:proofErr w:type="spellStart"/>
      <w:r w:rsidRPr="00C8778B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C8778B">
        <w:rPr>
          <w:rFonts w:ascii="Times New Roman" w:hAnsi="Times New Roman" w:cs="Times New Roman"/>
          <w:sz w:val="28"/>
          <w:szCs w:val="28"/>
        </w:rPr>
        <w:t xml:space="preserve"> и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AE0D73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>При исполнении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778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78B">
        <w:rPr>
          <w:rFonts w:ascii="Times New Roman" w:hAnsi="Times New Roman" w:cs="Times New Roman"/>
          <w:sz w:val="28"/>
          <w:szCs w:val="28"/>
        </w:rPr>
        <w:t xml:space="preserve"> необходимо обеспечить максимальную экономию бюджетных средств за счет их рационального использования.</w:t>
      </w:r>
    </w:p>
    <w:p w:rsidR="00AE0D73" w:rsidRPr="00270366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70366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70366">
        <w:rPr>
          <w:rFonts w:ascii="Times New Roman" w:hAnsi="Times New Roman" w:cs="Times New Roman"/>
          <w:sz w:val="28"/>
          <w:szCs w:val="28"/>
        </w:rPr>
        <w:t>ной социально-экономической политики.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Направления и мероприятия, реализуемые в рамках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8778B">
        <w:rPr>
          <w:rFonts w:ascii="Times New Roman" w:hAnsi="Times New Roman" w:cs="Times New Roman"/>
          <w:sz w:val="28"/>
          <w:szCs w:val="28"/>
        </w:rPr>
        <w:t xml:space="preserve">(далее - муниципальные программы),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местного бюджета в долгосрочном периоде. Это потребует применения системного </w:t>
      </w:r>
      <w:proofErr w:type="gramStart"/>
      <w:r w:rsidRPr="00C8778B">
        <w:rPr>
          <w:rFonts w:ascii="Times New Roman" w:hAnsi="Times New Roman" w:cs="Times New Roman"/>
          <w:sz w:val="28"/>
          <w:szCs w:val="28"/>
        </w:rPr>
        <w:t>механизма приведения объемов финансового обеспечения муниципальных программ</w:t>
      </w:r>
      <w:proofErr w:type="gramEnd"/>
      <w:r w:rsidRPr="00C8778B">
        <w:rPr>
          <w:rFonts w:ascii="Times New Roman" w:hAnsi="Times New Roman" w:cs="Times New Roman"/>
          <w:sz w:val="28"/>
          <w:szCs w:val="28"/>
        </w:rPr>
        <w:t xml:space="preserve"> на весь период их действия к реальным возможностям местного бюджета с учетом финансового положения бюджета в целом.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778B">
        <w:rPr>
          <w:rFonts w:ascii="Times New Roman" w:hAnsi="Times New Roman" w:cs="Times New Roman"/>
          <w:sz w:val="28"/>
          <w:szCs w:val="28"/>
        </w:rPr>
        <w:t>;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778B">
        <w:rPr>
          <w:rFonts w:ascii="Times New Roman" w:hAnsi="Times New Roman" w:cs="Times New Roman"/>
          <w:sz w:val="28"/>
          <w:szCs w:val="28"/>
        </w:rPr>
        <w:t>) повышение эффективности системы муниципального финансового контроля и внутреннего финансового контроля.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</w:t>
      </w:r>
      <w:r w:rsidRPr="008A20D4">
        <w:rPr>
          <w:rFonts w:ascii="Times New Roman" w:hAnsi="Times New Roman" w:cs="Times New Roman"/>
          <w:sz w:val="28"/>
          <w:szCs w:val="28"/>
        </w:rPr>
        <w:t>бюджетных расходов.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>Формирование и исполнение бюджета программно-целевым методом требует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расходов;</w:t>
      </w:r>
    </w:p>
    <w:p w:rsidR="00AE0D73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778B">
        <w:rPr>
          <w:rFonts w:ascii="Times New Roman" w:hAnsi="Times New Roman" w:cs="Times New Roman"/>
          <w:sz w:val="28"/>
          <w:szCs w:val="28"/>
        </w:rPr>
        <w:t xml:space="preserve">) обеспечение открытости и прозрачности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8778B">
        <w:rPr>
          <w:rFonts w:ascii="Times New Roman" w:hAnsi="Times New Roman" w:cs="Times New Roman"/>
          <w:sz w:val="28"/>
          <w:szCs w:val="28"/>
        </w:rPr>
        <w:t xml:space="preserve">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877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8778B">
        <w:rPr>
          <w:rFonts w:ascii="Times New Roman" w:hAnsi="Times New Roman" w:cs="Times New Roman"/>
          <w:sz w:val="28"/>
          <w:szCs w:val="28"/>
        </w:rPr>
        <w:t>) высокий уровень дефицита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778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78B">
        <w:rPr>
          <w:rFonts w:ascii="Times New Roman" w:hAnsi="Times New Roman" w:cs="Times New Roman"/>
          <w:sz w:val="28"/>
          <w:szCs w:val="28"/>
        </w:rPr>
        <w:t>, рост муниципального долга;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778B">
        <w:rPr>
          <w:rFonts w:ascii="Times New Roman" w:hAnsi="Times New Roman" w:cs="Times New Roman"/>
          <w:sz w:val="28"/>
          <w:szCs w:val="28"/>
        </w:rPr>
        <w:t xml:space="preserve">) сокращение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районного и област</w:t>
      </w:r>
      <w:r w:rsidRPr="00C8778B">
        <w:rPr>
          <w:rFonts w:ascii="Times New Roman" w:hAnsi="Times New Roman" w:cs="Times New Roman"/>
          <w:sz w:val="28"/>
          <w:szCs w:val="28"/>
        </w:rPr>
        <w:t>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778B">
        <w:rPr>
          <w:rFonts w:ascii="Times New Roman" w:hAnsi="Times New Roman" w:cs="Times New Roman"/>
          <w:sz w:val="28"/>
          <w:szCs w:val="28"/>
        </w:rPr>
        <w:t>;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778B">
        <w:rPr>
          <w:rFonts w:ascii="Times New Roman" w:hAnsi="Times New Roman" w:cs="Times New Roman"/>
          <w:sz w:val="28"/>
          <w:szCs w:val="28"/>
        </w:rPr>
        <w:t>) передача дополнительных расходных обязательств.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>Мероприятия по минимизации бюджетных рисков: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8778B">
        <w:rPr>
          <w:rFonts w:ascii="Times New Roman" w:hAnsi="Times New Roman" w:cs="Times New Roman"/>
          <w:sz w:val="28"/>
          <w:szCs w:val="28"/>
        </w:rPr>
        <w:t>;</w:t>
      </w:r>
    </w:p>
    <w:p w:rsidR="00AE0D73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2) максимальное наполнение доходной части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C8778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78B">
        <w:rPr>
          <w:rFonts w:ascii="Times New Roman" w:hAnsi="Times New Roman" w:cs="Times New Roman"/>
          <w:sz w:val="28"/>
          <w:szCs w:val="28"/>
        </w:rPr>
        <w:t xml:space="preserve"> для осуществления социально значимых расходов;</w:t>
      </w:r>
    </w:p>
    <w:p w:rsidR="00AE0D73" w:rsidRPr="00D5189D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189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недопущение образования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D5189D">
        <w:rPr>
          <w:rFonts w:ascii="Times New Roman" w:hAnsi="Times New Roman" w:cs="Times New Roman"/>
          <w:sz w:val="28"/>
          <w:szCs w:val="28"/>
        </w:rPr>
        <w:t>;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778B">
        <w:rPr>
          <w:rFonts w:ascii="Times New Roman" w:hAnsi="Times New Roman" w:cs="Times New Roman"/>
          <w:sz w:val="28"/>
          <w:szCs w:val="28"/>
        </w:rPr>
        <w:t>) проведение детальных проверок исполнения местных бюджетов.</w:t>
      </w:r>
    </w:p>
    <w:p w:rsidR="00AE0D73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8B">
        <w:rPr>
          <w:rFonts w:ascii="Times New Roman" w:hAnsi="Times New Roman" w:cs="Times New Roman"/>
          <w:sz w:val="28"/>
          <w:szCs w:val="28"/>
        </w:rPr>
        <w:t xml:space="preserve">В долгосрочном периоде необходимо продолжать работу по повышению качества управления муниципальными финансами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8778B">
        <w:rPr>
          <w:rFonts w:ascii="Times New Roman" w:hAnsi="Times New Roman" w:cs="Times New Roman"/>
          <w:sz w:val="28"/>
          <w:szCs w:val="28"/>
        </w:rPr>
        <w:t xml:space="preserve"> и эффективности использования бюджетных средств.</w:t>
      </w:r>
    </w:p>
    <w:p w:rsidR="00AE0D73" w:rsidRPr="00A55A72" w:rsidRDefault="00AE0D73" w:rsidP="00A55A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5A72">
        <w:rPr>
          <w:color w:val="000000"/>
          <w:sz w:val="28"/>
          <w:szCs w:val="28"/>
        </w:rPr>
        <w:t xml:space="preserve">Общий объем доходов бюджета </w:t>
      </w:r>
      <w:proofErr w:type="spellStart"/>
      <w:r w:rsidRPr="00A55A7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ип</w:t>
      </w:r>
      <w:r w:rsidRPr="00A55A72">
        <w:rPr>
          <w:color w:val="000000"/>
          <w:sz w:val="28"/>
          <w:szCs w:val="28"/>
        </w:rPr>
        <w:t>ского</w:t>
      </w:r>
      <w:proofErr w:type="spellEnd"/>
      <w:r w:rsidRPr="00A55A72">
        <w:rPr>
          <w:color w:val="000000"/>
          <w:sz w:val="28"/>
          <w:szCs w:val="28"/>
        </w:rPr>
        <w:t xml:space="preserve"> сельского поселения составляет на 2017 год </w:t>
      </w:r>
      <w:r w:rsidR="00805B07">
        <w:rPr>
          <w:color w:val="000000"/>
          <w:sz w:val="28"/>
          <w:szCs w:val="28"/>
        </w:rPr>
        <w:t>–</w:t>
      </w:r>
      <w:r w:rsidR="009564F9">
        <w:rPr>
          <w:color w:val="000000"/>
          <w:sz w:val="28"/>
          <w:szCs w:val="28"/>
        </w:rPr>
        <w:t>2996,9</w:t>
      </w:r>
      <w:r w:rsidR="00805B07">
        <w:rPr>
          <w:color w:val="000000"/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 xml:space="preserve"> рублей, в том числе безвозмездные поступления не</w:t>
      </w:r>
      <w:r>
        <w:rPr>
          <w:color w:val="000000"/>
          <w:sz w:val="28"/>
          <w:szCs w:val="28"/>
        </w:rPr>
        <w:t xml:space="preserve">целевого характера в сумме </w:t>
      </w:r>
      <w:r w:rsidR="009564F9">
        <w:rPr>
          <w:color w:val="000000"/>
          <w:sz w:val="28"/>
          <w:szCs w:val="28"/>
        </w:rPr>
        <w:t>1876,4</w:t>
      </w:r>
      <w:r w:rsidR="00805B07">
        <w:rPr>
          <w:color w:val="000000"/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 xml:space="preserve"> рублей,</w:t>
      </w:r>
      <w:r w:rsidRPr="00A55A72">
        <w:rPr>
          <w:sz w:val="28"/>
          <w:szCs w:val="28"/>
        </w:rPr>
        <w:t xml:space="preserve">  на 2018 год </w:t>
      </w:r>
      <w:r w:rsidR="00805B07">
        <w:rPr>
          <w:sz w:val="28"/>
          <w:szCs w:val="28"/>
        </w:rPr>
        <w:t>–</w:t>
      </w:r>
      <w:r w:rsidR="009564F9">
        <w:rPr>
          <w:sz w:val="28"/>
          <w:szCs w:val="28"/>
        </w:rPr>
        <w:t>3373,4</w:t>
      </w:r>
      <w:r w:rsidR="00805B07">
        <w:rPr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 xml:space="preserve"> рублей, в том числе безвозмездные поступления нецелевого характера в сумме </w:t>
      </w:r>
      <w:r w:rsidR="009564F9">
        <w:rPr>
          <w:color w:val="000000"/>
          <w:sz w:val="28"/>
          <w:szCs w:val="28"/>
        </w:rPr>
        <w:t>2104,8</w:t>
      </w:r>
      <w:r w:rsidR="00805B07">
        <w:rPr>
          <w:color w:val="000000"/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 xml:space="preserve"> рублей</w:t>
      </w:r>
      <w:r w:rsidRPr="00A55A72">
        <w:rPr>
          <w:sz w:val="28"/>
          <w:szCs w:val="28"/>
        </w:rPr>
        <w:t xml:space="preserve">, на 2019 год </w:t>
      </w:r>
      <w:r w:rsidR="00805B07">
        <w:rPr>
          <w:sz w:val="28"/>
          <w:szCs w:val="28"/>
        </w:rPr>
        <w:t>–</w:t>
      </w:r>
      <w:r w:rsidR="009564F9">
        <w:rPr>
          <w:sz w:val="28"/>
          <w:szCs w:val="28"/>
        </w:rPr>
        <w:t>3354,9</w:t>
      </w:r>
      <w:r w:rsidR="00805B07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</w:t>
      </w:r>
      <w:proofErr w:type="gramStart"/>
      <w:r w:rsidRPr="00A55A72">
        <w:rPr>
          <w:sz w:val="28"/>
          <w:szCs w:val="28"/>
        </w:rPr>
        <w:t>,</w:t>
      </w:r>
      <w:r w:rsidR="009564F9">
        <w:rPr>
          <w:color w:val="000000"/>
          <w:sz w:val="28"/>
          <w:szCs w:val="28"/>
        </w:rPr>
        <w:t>в</w:t>
      </w:r>
      <w:proofErr w:type="gramEnd"/>
      <w:r w:rsidR="009564F9">
        <w:rPr>
          <w:color w:val="000000"/>
          <w:sz w:val="28"/>
          <w:szCs w:val="28"/>
        </w:rPr>
        <w:t xml:space="preserve"> </w:t>
      </w:r>
      <w:r w:rsidRPr="00A55A72">
        <w:rPr>
          <w:color w:val="000000"/>
          <w:sz w:val="28"/>
          <w:szCs w:val="28"/>
        </w:rPr>
        <w:t>том числе безвозмездные поступления не</w:t>
      </w:r>
      <w:r>
        <w:rPr>
          <w:color w:val="000000"/>
          <w:sz w:val="28"/>
          <w:szCs w:val="28"/>
        </w:rPr>
        <w:t>целевого</w:t>
      </w:r>
      <w:r w:rsidR="00805B07">
        <w:rPr>
          <w:color w:val="000000"/>
          <w:sz w:val="28"/>
          <w:szCs w:val="28"/>
        </w:rPr>
        <w:t>характера в сумме 1</w:t>
      </w:r>
      <w:r w:rsidR="009564F9">
        <w:rPr>
          <w:color w:val="000000"/>
          <w:sz w:val="28"/>
          <w:szCs w:val="28"/>
        </w:rPr>
        <w:t xml:space="preserve">938,4тыс. </w:t>
      </w:r>
      <w:r w:rsidRPr="00A55A72"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 xml:space="preserve">, на 2020 год – </w:t>
      </w:r>
      <w:r w:rsidR="00356B9B">
        <w:rPr>
          <w:sz w:val="28"/>
          <w:szCs w:val="28"/>
        </w:rPr>
        <w:t>3659,8</w:t>
      </w:r>
      <w:r w:rsidR="009564F9">
        <w:rPr>
          <w:sz w:val="28"/>
          <w:szCs w:val="28"/>
        </w:rPr>
        <w:t xml:space="preserve"> тыс. </w:t>
      </w:r>
      <w:r w:rsidRPr="00A55A72">
        <w:rPr>
          <w:sz w:val="28"/>
          <w:szCs w:val="28"/>
        </w:rPr>
        <w:t>рублей</w:t>
      </w:r>
      <w:proofErr w:type="gramStart"/>
      <w:r w:rsidRPr="00A55A72">
        <w:rPr>
          <w:sz w:val="28"/>
          <w:szCs w:val="28"/>
        </w:rPr>
        <w:t>,</w:t>
      </w:r>
      <w:r w:rsidR="009564F9">
        <w:rPr>
          <w:color w:val="000000"/>
          <w:sz w:val="28"/>
          <w:szCs w:val="28"/>
        </w:rPr>
        <w:t>в</w:t>
      </w:r>
      <w:proofErr w:type="gramEnd"/>
      <w:r w:rsidR="009564F9">
        <w:rPr>
          <w:color w:val="000000"/>
          <w:sz w:val="28"/>
          <w:szCs w:val="28"/>
        </w:rPr>
        <w:t xml:space="preserve"> </w:t>
      </w:r>
      <w:r w:rsidRPr="00A55A72">
        <w:rPr>
          <w:color w:val="000000"/>
          <w:sz w:val="28"/>
          <w:szCs w:val="28"/>
        </w:rPr>
        <w:t>том числе безвозмездные поступления н</w:t>
      </w:r>
      <w:r>
        <w:rPr>
          <w:color w:val="000000"/>
          <w:sz w:val="28"/>
          <w:szCs w:val="28"/>
        </w:rPr>
        <w:t xml:space="preserve">ецелевого характера в сумме </w:t>
      </w:r>
      <w:r w:rsidR="00317403">
        <w:rPr>
          <w:color w:val="000000"/>
          <w:sz w:val="28"/>
          <w:szCs w:val="28"/>
        </w:rPr>
        <w:t>2333,0</w:t>
      </w:r>
      <w:r w:rsidR="009564F9">
        <w:rPr>
          <w:color w:val="000000"/>
          <w:sz w:val="28"/>
          <w:szCs w:val="28"/>
        </w:rPr>
        <w:t xml:space="preserve"> тыс. </w:t>
      </w:r>
      <w:r w:rsidRPr="00A55A72">
        <w:rPr>
          <w:color w:val="000000"/>
          <w:sz w:val="28"/>
          <w:szCs w:val="28"/>
        </w:rPr>
        <w:t xml:space="preserve"> рублей</w:t>
      </w:r>
      <w:r w:rsidRPr="00A55A72">
        <w:rPr>
          <w:sz w:val="28"/>
          <w:szCs w:val="28"/>
        </w:rPr>
        <w:t xml:space="preserve">, на 2021 год </w:t>
      </w:r>
      <w:r w:rsidR="009564F9">
        <w:rPr>
          <w:sz w:val="28"/>
          <w:szCs w:val="28"/>
        </w:rPr>
        <w:t>–</w:t>
      </w:r>
      <w:r w:rsidR="00317403">
        <w:rPr>
          <w:sz w:val="28"/>
          <w:szCs w:val="28"/>
        </w:rPr>
        <w:t>3701,6</w:t>
      </w:r>
      <w:r w:rsidR="009564F9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рублей,</w:t>
      </w:r>
      <w:r w:rsidR="009564F9">
        <w:rPr>
          <w:color w:val="000000"/>
          <w:sz w:val="28"/>
          <w:szCs w:val="28"/>
        </w:rPr>
        <w:t xml:space="preserve">в </w:t>
      </w:r>
      <w:r w:rsidRPr="00A55A72">
        <w:rPr>
          <w:color w:val="000000"/>
          <w:sz w:val="28"/>
          <w:szCs w:val="28"/>
        </w:rPr>
        <w:t>том числе безвозмездные поступления н</w:t>
      </w:r>
      <w:r>
        <w:rPr>
          <w:color w:val="000000"/>
          <w:sz w:val="28"/>
          <w:szCs w:val="28"/>
        </w:rPr>
        <w:t xml:space="preserve">ецелевого характера в сумме </w:t>
      </w:r>
      <w:r w:rsidR="00317403">
        <w:rPr>
          <w:color w:val="000000"/>
          <w:sz w:val="28"/>
          <w:szCs w:val="28"/>
        </w:rPr>
        <w:t>2063,5</w:t>
      </w:r>
      <w:r w:rsidR="009564F9">
        <w:rPr>
          <w:color w:val="000000"/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на 2022 год </w:t>
      </w:r>
      <w:r w:rsidR="009564F9">
        <w:rPr>
          <w:sz w:val="28"/>
          <w:szCs w:val="28"/>
        </w:rPr>
        <w:t>–</w:t>
      </w:r>
      <w:r w:rsidR="00675C48">
        <w:rPr>
          <w:sz w:val="28"/>
          <w:szCs w:val="28"/>
        </w:rPr>
        <w:t>3836,1</w:t>
      </w:r>
      <w:r w:rsidR="009564F9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рублей,</w:t>
      </w:r>
      <w:r w:rsidR="009564F9">
        <w:rPr>
          <w:color w:val="000000"/>
          <w:sz w:val="28"/>
          <w:szCs w:val="28"/>
        </w:rPr>
        <w:t xml:space="preserve">в </w:t>
      </w:r>
      <w:r w:rsidRPr="00A55A72">
        <w:rPr>
          <w:color w:val="000000"/>
          <w:sz w:val="28"/>
          <w:szCs w:val="28"/>
        </w:rPr>
        <w:t xml:space="preserve">том числе безвозмездные поступления нецелевого характера в сумме </w:t>
      </w:r>
      <w:r w:rsidR="00675C48">
        <w:rPr>
          <w:color w:val="000000"/>
          <w:sz w:val="28"/>
          <w:szCs w:val="28"/>
        </w:rPr>
        <w:t>2136,1</w:t>
      </w:r>
      <w:r w:rsidR="009564F9">
        <w:rPr>
          <w:color w:val="000000"/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2023 год </w:t>
      </w:r>
      <w:r w:rsidR="009564F9">
        <w:rPr>
          <w:sz w:val="28"/>
          <w:szCs w:val="28"/>
        </w:rPr>
        <w:t>–</w:t>
      </w:r>
      <w:r w:rsidR="00317403">
        <w:rPr>
          <w:sz w:val="28"/>
          <w:szCs w:val="28"/>
        </w:rPr>
        <w:t>4022,7</w:t>
      </w:r>
      <w:r w:rsidR="009564F9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</w:t>
      </w:r>
      <w:proofErr w:type="gramStart"/>
      <w:r w:rsidRPr="00A55A72">
        <w:rPr>
          <w:sz w:val="28"/>
          <w:szCs w:val="28"/>
        </w:rPr>
        <w:t>,</w:t>
      </w:r>
      <w:r w:rsidR="009564F9">
        <w:rPr>
          <w:color w:val="000000"/>
          <w:sz w:val="28"/>
          <w:szCs w:val="28"/>
        </w:rPr>
        <w:t>в</w:t>
      </w:r>
      <w:proofErr w:type="gramEnd"/>
      <w:r w:rsidRPr="00A55A72">
        <w:rPr>
          <w:color w:val="000000"/>
          <w:sz w:val="28"/>
          <w:szCs w:val="28"/>
        </w:rPr>
        <w:t xml:space="preserve">том числе безвозмездные поступления нецелевого характера в сумме </w:t>
      </w:r>
      <w:r w:rsidR="00317403">
        <w:rPr>
          <w:color w:val="000000"/>
          <w:sz w:val="28"/>
          <w:szCs w:val="28"/>
        </w:rPr>
        <w:t>2209,6</w:t>
      </w:r>
      <w:r w:rsidR="009564F9">
        <w:rPr>
          <w:color w:val="000000"/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 xml:space="preserve"> рублей</w:t>
      </w:r>
      <w:r w:rsidRPr="00A55A72">
        <w:rPr>
          <w:sz w:val="28"/>
          <w:szCs w:val="28"/>
        </w:rPr>
        <w:t xml:space="preserve">. </w:t>
      </w:r>
    </w:p>
    <w:p w:rsidR="00AE0D73" w:rsidRPr="00A55A72" w:rsidRDefault="00AE0D73" w:rsidP="00A55A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A72">
        <w:rPr>
          <w:color w:val="000000"/>
          <w:sz w:val="28"/>
          <w:szCs w:val="28"/>
        </w:rPr>
        <w:t xml:space="preserve">Общий объем расходов бюджета </w:t>
      </w:r>
      <w:proofErr w:type="spellStart"/>
      <w:r w:rsidRPr="00A55A72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п</w:t>
      </w:r>
      <w:r w:rsidRPr="00A55A72">
        <w:rPr>
          <w:color w:val="000000"/>
          <w:sz w:val="28"/>
          <w:szCs w:val="28"/>
        </w:rPr>
        <w:t>ского</w:t>
      </w:r>
      <w:proofErr w:type="spellEnd"/>
      <w:r w:rsidRPr="00A55A72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 xml:space="preserve">ления составляет на 2017 год </w:t>
      </w:r>
      <w:r w:rsidR="009564F9">
        <w:rPr>
          <w:color w:val="000000"/>
          <w:sz w:val="28"/>
          <w:szCs w:val="28"/>
        </w:rPr>
        <w:t>– 2994,8 тыс.</w:t>
      </w:r>
      <w:r w:rsidRPr="00A55A72">
        <w:rPr>
          <w:color w:val="000000"/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на 2018 год </w:t>
      </w:r>
      <w:r w:rsidR="009564F9">
        <w:rPr>
          <w:sz w:val="28"/>
          <w:szCs w:val="28"/>
        </w:rPr>
        <w:t>–3161,1 тыс.</w:t>
      </w:r>
      <w:r>
        <w:rPr>
          <w:sz w:val="28"/>
          <w:szCs w:val="28"/>
        </w:rPr>
        <w:t xml:space="preserve"> рублей, на 2019 год </w:t>
      </w:r>
      <w:r w:rsidR="009564F9">
        <w:rPr>
          <w:sz w:val="28"/>
          <w:szCs w:val="28"/>
        </w:rPr>
        <w:t>–3497,3 тыс.</w:t>
      </w:r>
      <w:r w:rsidRPr="00A55A72">
        <w:rPr>
          <w:sz w:val="28"/>
          <w:szCs w:val="28"/>
        </w:rPr>
        <w:t xml:space="preserve"> рублей</w:t>
      </w:r>
      <w:proofErr w:type="gramStart"/>
      <w:r w:rsidRPr="00A55A72"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2020 год </w:t>
      </w:r>
      <w:r w:rsidR="009564F9">
        <w:rPr>
          <w:sz w:val="28"/>
          <w:szCs w:val="28"/>
        </w:rPr>
        <w:t>–</w:t>
      </w:r>
      <w:r w:rsidR="00317403">
        <w:rPr>
          <w:sz w:val="28"/>
          <w:szCs w:val="28"/>
        </w:rPr>
        <w:t>3778,6</w:t>
      </w:r>
      <w:r w:rsidR="009564F9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на 2021 год </w:t>
      </w:r>
      <w:r w:rsidR="009564F9">
        <w:rPr>
          <w:sz w:val="28"/>
          <w:szCs w:val="28"/>
        </w:rPr>
        <w:t>–</w:t>
      </w:r>
      <w:r w:rsidR="00317403">
        <w:rPr>
          <w:sz w:val="28"/>
          <w:szCs w:val="28"/>
        </w:rPr>
        <w:t>3809,3</w:t>
      </w:r>
      <w:r w:rsidR="009564F9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 на 2022 год </w:t>
      </w:r>
      <w:r w:rsidR="009564F9">
        <w:rPr>
          <w:sz w:val="28"/>
          <w:szCs w:val="28"/>
        </w:rPr>
        <w:t>–</w:t>
      </w:r>
      <w:r w:rsidR="00675C48">
        <w:rPr>
          <w:sz w:val="28"/>
          <w:szCs w:val="28"/>
        </w:rPr>
        <w:t>3992,0</w:t>
      </w:r>
      <w:r w:rsidR="009564F9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на 2023 год </w:t>
      </w:r>
      <w:r w:rsidR="009564F9">
        <w:rPr>
          <w:sz w:val="28"/>
          <w:szCs w:val="28"/>
        </w:rPr>
        <w:t>–</w:t>
      </w:r>
      <w:r w:rsidR="00317403">
        <w:rPr>
          <w:sz w:val="28"/>
          <w:szCs w:val="28"/>
        </w:rPr>
        <w:t>4022,7</w:t>
      </w:r>
      <w:r w:rsidR="009564F9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рублей.</w:t>
      </w:r>
    </w:p>
    <w:p w:rsidR="00AE0D73" w:rsidRPr="00A55A72" w:rsidRDefault="009564F9" w:rsidP="00A55A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AE0D73" w:rsidRPr="00A55A72">
        <w:rPr>
          <w:sz w:val="28"/>
          <w:szCs w:val="28"/>
        </w:rPr>
        <w:t xml:space="preserve">фицит </w:t>
      </w:r>
      <w:r w:rsidR="00AE0D73">
        <w:rPr>
          <w:sz w:val="28"/>
          <w:szCs w:val="28"/>
        </w:rPr>
        <w:t>бюджета поселения на 2017</w:t>
      </w:r>
      <w:r>
        <w:rPr>
          <w:sz w:val="28"/>
          <w:szCs w:val="28"/>
        </w:rPr>
        <w:t xml:space="preserve"> – 2,1 тыс. рублей, на 2018 год – 212,3 тыс. рублей. Дефицит бюджета поселения на 2019 год – 142,4 тыс. рублей, на 2020 </w:t>
      </w:r>
      <w:r w:rsidR="00317403">
        <w:rPr>
          <w:sz w:val="28"/>
          <w:szCs w:val="28"/>
        </w:rPr>
        <w:t>- 11</w:t>
      </w:r>
      <w:r>
        <w:rPr>
          <w:sz w:val="28"/>
          <w:szCs w:val="28"/>
        </w:rPr>
        <w:t>8,8 тыс. рублей, на 2021</w:t>
      </w:r>
      <w:r w:rsidR="00317403">
        <w:rPr>
          <w:sz w:val="28"/>
          <w:szCs w:val="28"/>
        </w:rPr>
        <w:t xml:space="preserve">- 107,7 тыс. рублей, на 2022 – </w:t>
      </w:r>
      <w:r w:rsidR="00675C48">
        <w:rPr>
          <w:sz w:val="28"/>
          <w:szCs w:val="28"/>
        </w:rPr>
        <w:t>155,9</w:t>
      </w:r>
      <w:r w:rsidR="00317403">
        <w:rPr>
          <w:sz w:val="28"/>
          <w:szCs w:val="28"/>
        </w:rPr>
        <w:t xml:space="preserve"> тыс. рублей, на</w:t>
      </w:r>
      <w:r w:rsidR="00AE0D73">
        <w:rPr>
          <w:sz w:val="28"/>
          <w:szCs w:val="28"/>
        </w:rPr>
        <w:t xml:space="preserve"> 2023</w:t>
      </w:r>
      <w:r w:rsidR="00AE0D73" w:rsidRPr="00A55A72">
        <w:rPr>
          <w:sz w:val="28"/>
          <w:szCs w:val="28"/>
        </w:rPr>
        <w:t xml:space="preserve"> год равен нулю.</w:t>
      </w:r>
    </w:p>
    <w:p w:rsidR="00AE0D73" w:rsidRPr="00A55A72" w:rsidRDefault="00AE0D73" w:rsidP="00A55A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A72">
        <w:rPr>
          <w:color w:val="000000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8D60E8">
        <w:rPr>
          <w:color w:val="000000"/>
          <w:sz w:val="28"/>
          <w:szCs w:val="28"/>
        </w:rPr>
        <w:t>Кипского</w:t>
      </w:r>
      <w:proofErr w:type="spellEnd"/>
      <w:r w:rsidRPr="00A55A72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 xml:space="preserve">ления составляют на 2017 год </w:t>
      </w:r>
      <w:r w:rsidR="0064080C">
        <w:rPr>
          <w:color w:val="000000"/>
          <w:sz w:val="28"/>
          <w:szCs w:val="28"/>
        </w:rPr>
        <w:t xml:space="preserve">–2994,8 тыс. </w:t>
      </w:r>
      <w:r w:rsidRPr="00A55A72">
        <w:rPr>
          <w:color w:val="000000"/>
          <w:sz w:val="28"/>
          <w:szCs w:val="28"/>
        </w:rPr>
        <w:t xml:space="preserve"> рублей, в том числе за счет поступлени</w:t>
      </w:r>
      <w:r>
        <w:rPr>
          <w:color w:val="000000"/>
          <w:sz w:val="28"/>
          <w:szCs w:val="28"/>
        </w:rPr>
        <w:t xml:space="preserve">й нецелевого характера в сумме </w:t>
      </w:r>
      <w:r w:rsidR="0064080C">
        <w:rPr>
          <w:color w:val="000000"/>
          <w:sz w:val="28"/>
          <w:szCs w:val="28"/>
        </w:rPr>
        <w:t xml:space="preserve">- 2944,3 тыс. </w:t>
      </w:r>
      <w:r w:rsidRPr="00A55A72">
        <w:rPr>
          <w:color w:val="000000"/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 на 2018 год </w:t>
      </w:r>
      <w:r w:rsidR="0064080C">
        <w:rPr>
          <w:sz w:val="28"/>
          <w:szCs w:val="28"/>
        </w:rPr>
        <w:lastRenderedPageBreak/>
        <w:t xml:space="preserve">–3161,1 тыс. </w:t>
      </w:r>
      <w:r w:rsidRPr="00A55A72">
        <w:rPr>
          <w:sz w:val="28"/>
          <w:szCs w:val="28"/>
        </w:rPr>
        <w:t xml:space="preserve"> рублей,</w:t>
      </w:r>
      <w:r w:rsidRPr="00A55A72">
        <w:rPr>
          <w:color w:val="000000"/>
          <w:sz w:val="28"/>
          <w:szCs w:val="28"/>
        </w:rPr>
        <w:t xml:space="preserve"> в том числе за счет  поступлений нецелевого характера в сумме </w:t>
      </w:r>
      <w:r w:rsidR="0064080C">
        <w:rPr>
          <w:sz w:val="28"/>
          <w:szCs w:val="28"/>
        </w:rPr>
        <w:t xml:space="preserve">3111,8 тыс. </w:t>
      </w:r>
      <w:r w:rsidRPr="00A55A72"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 xml:space="preserve">, на 2019 год </w:t>
      </w:r>
      <w:r w:rsidR="0064080C">
        <w:rPr>
          <w:sz w:val="28"/>
          <w:szCs w:val="28"/>
        </w:rPr>
        <w:t>–3497,3 тыс.</w:t>
      </w:r>
      <w:r w:rsidRPr="00A55A72">
        <w:rPr>
          <w:sz w:val="28"/>
          <w:szCs w:val="28"/>
        </w:rPr>
        <w:t xml:space="preserve">  рублей</w:t>
      </w:r>
      <w:proofErr w:type="gramStart"/>
      <w:r w:rsidRPr="00A55A72">
        <w:rPr>
          <w:sz w:val="28"/>
          <w:szCs w:val="28"/>
        </w:rPr>
        <w:t>,</w:t>
      </w:r>
      <w:r w:rsidR="00A81A80">
        <w:rPr>
          <w:color w:val="000000"/>
          <w:sz w:val="28"/>
          <w:szCs w:val="28"/>
        </w:rPr>
        <w:t>в</w:t>
      </w:r>
      <w:proofErr w:type="gramEnd"/>
      <w:r w:rsidR="00A81A80">
        <w:rPr>
          <w:color w:val="000000"/>
          <w:sz w:val="28"/>
          <w:szCs w:val="28"/>
        </w:rPr>
        <w:t xml:space="preserve"> </w:t>
      </w:r>
      <w:r w:rsidRPr="00A55A72">
        <w:rPr>
          <w:color w:val="000000"/>
          <w:sz w:val="28"/>
          <w:szCs w:val="28"/>
        </w:rPr>
        <w:t>том числеза счет поступлений нецелевого</w:t>
      </w:r>
      <w:r>
        <w:rPr>
          <w:color w:val="000000"/>
          <w:sz w:val="28"/>
          <w:szCs w:val="28"/>
        </w:rPr>
        <w:t xml:space="preserve">характера в сумме  </w:t>
      </w:r>
      <w:r w:rsidR="0064080C">
        <w:rPr>
          <w:color w:val="000000"/>
          <w:sz w:val="28"/>
          <w:szCs w:val="28"/>
        </w:rPr>
        <w:t xml:space="preserve">3432,5 тыс. </w:t>
      </w:r>
      <w:r w:rsidRPr="00A55A72">
        <w:rPr>
          <w:color w:val="000000"/>
          <w:sz w:val="28"/>
          <w:szCs w:val="28"/>
        </w:rPr>
        <w:t>рублей</w:t>
      </w:r>
      <w:r w:rsidRPr="00A55A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2020 год </w:t>
      </w:r>
      <w:r w:rsidR="0064080C">
        <w:rPr>
          <w:sz w:val="28"/>
          <w:szCs w:val="28"/>
        </w:rPr>
        <w:t>–</w:t>
      </w:r>
      <w:r w:rsidR="00317403">
        <w:rPr>
          <w:sz w:val="28"/>
          <w:szCs w:val="28"/>
        </w:rPr>
        <w:t xml:space="preserve">3778,6 </w:t>
      </w:r>
      <w:r w:rsidR="00A81A80">
        <w:rPr>
          <w:sz w:val="28"/>
          <w:szCs w:val="28"/>
        </w:rPr>
        <w:t xml:space="preserve">тыс. </w:t>
      </w:r>
      <w:r w:rsidRPr="00A55A72">
        <w:rPr>
          <w:sz w:val="28"/>
          <w:szCs w:val="28"/>
        </w:rPr>
        <w:t>рублей</w:t>
      </w:r>
      <w:proofErr w:type="gramStart"/>
      <w:r w:rsidRPr="00A55A72">
        <w:rPr>
          <w:sz w:val="28"/>
          <w:szCs w:val="28"/>
        </w:rPr>
        <w:t>,</w:t>
      </w:r>
      <w:r w:rsidR="00A81A80">
        <w:rPr>
          <w:color w:val="000000"/>
          <w:sz w:val="28"/>
          <w:szCs w:val="28"/>
        </w:rPr>
        <w:t>в</w:t>
      </w:r>
      <w:proofErr w:type="gramEnd"/>
      <w:r w:rsidR="00A81A80">
        <w:rPr>
          <w:color w:val="000000"/>
          <w:sz w:val="28"/>
          <w:szCs w:val="28"/>
        </w:rPr>
        <w:t xml:space="preserve"> </w:t>
      </w:r>
      <w:r w:rsidRPr="00A55A72">
        <w:rPr>
          <w:color w:val="000000"/>
          <w:sz w:val="28"/>
          <w:szCs w:val="28"/>
        </w:rPr>
        <w:t>том числе за счет поступлений нецелевого</w:t>
      </w:r>
      <w:r>
        <w:rPr>
          <w:color w:val="000000"/>
          <w:sz w:val="28"/>
          <w:szCs w:val="28"/>
        </w:rPr>
        <w:t xml:space="preserve"> характера в сумме </w:t>
      </w:r>
      <w:r w:rsidR="00317403">
        <w:rPr>
          <w:color w:val="000000"/>
          <w:sz w:val="28"/>
          <w:szCs w:val="28"/>
        </w:rPr>
        <w:t>3720,9</w:t>
      </w:r>
      <w:r w:rsidR="0064080C">
        <w:rPr>
          <w:color w:val="000000"/>
          <w:sz w:val="28"/>
          <w:szCs w:val="28"/>
        </w:rPr>
        <w:t xml:space="preserve"> тыс. </w:t>
      </w:r>
      <w:r w:rsidRPr="00A55A72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2021 год </w:t>
      </w:r>
      <w:r w:rsidR="0064080C">
        <w:rPr>
          <w:sz w:val="28"/>
          <w:szCs w:val="28"/>
        </w:rPr>
        <w:t>–</w:t>
      </w:r>
      <w:r w:rsidR="00317403">
        <w:rPr>
          <w:sz w:val="28"/>
          <w:szCs w:val="28"/>
        </w:rPr>
        <w:t xml:space="preserve">3809,3 </w:t>
      </w:r>
      <w:r w:rsidR="00A81A80">
        <w:rPr>
          <w:sz w:val="28"/>
          <w:szCs w:val="28"/>
        </w:rPr>
        <w:t xml:space="preserve">тыс. </w:t>
      </w:r>
      <w:r w:rsidRPr="00A55A72">
        <w:rPr>
          <w:sz w:val="28"/>
          <w:szCs w:val="28"/>
        </w:rPr>
        <w:t>рублей,</w:t>
      </w:r>
      <w:r w:rsidR="00A81A80">
        <w:rPr>
          <w:color w:val="000000"/>
          <w:sz w:val="28"/>
          <w:szCs w:val="28"/>
        </w:rPr>
        <w:t xml:space="preserve">в </w:t>
      </w:r>
      <w:r w:rsidRPr="00A55A72">
        <w:rPr>
          <w:color w:val="000000"/>
          <w:sz w:val="28"/>
          <w:szCs w:val="28"/>
        </w:rPr>
        <w:t>том числе за счет поступлений нецелевого</w:t>
      </w:r>
      <w:r>
        <w:rPr>
          <w:color w:val="000000"/>
          <w:sz w:val="28"/>
          <w:szCs w:val="28"/>
        </w:rPr>
        <w:t xml:space="preserve"> характера в сумме </w:t>
      </w:r>
      <w:r w:rsidR="00317403">
        <w:rPr>
          <w:color w:val="000000"/>
          <w:sz w:val="28"/>
          <w:szCs w:val="28"/>
        </w:rPr>
        <w:t>3755,0</w:t>
      </w:r>
      <w:r w:rsidR="0064080C">
        <w:rPr>
          <w:color w:val="000000"/>
          <w:sz w:val="28"/>
          <w:szCs w:val="28"/>
        </w:rPr>
        <w:t xml:space="preserve"> тыс. </w:t>
      </w:r>
      <w:r w:rsidRPr="00A55A72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2022 год </w:t>
      </w:r>
      <w:r w:rsidR="0064080C">
        <w:rPr>
          <w:sz w:val="28"/>
          <w:szCs w:val="28"/>
        </w:rPr>
        <w:t>–</w:t>
      </w:r>
      <w:r w:rsidR="00675C48">
        <w:rPr>
          <w:sz w:val="28"/>
          <w:szCs w:val="28"/>
        </w:rPr>
        <w:t>3992,0</w:t>
      </w:r>
      <w:r w:rsidR="0064080C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 рублей,</w:t>
      </w:r>
      <w:r w:rsidR="00A81A80">
        <w:rPr>
          <w:color w:val="000000"/>
          <w:sz w:val="28"/>
          <w:szCs w:val="28"/>
        </w:rPr>
        <w:t xml:space="preserve">в </w:t>
      </w:r>
      <w:r w:rsidRPr="00A55A72">
        <w:rPr>
          <w:color w:val="000000"/>
          <w:sz w:val="28"/>
          <w:szCs w:val="28"/>
        </w:rPr>
        <w:t>том числе за счет поступлений нецелевого</w:t>
      </w:r>
      <w:r w:rsidR="0064080C">
        <w:rPr>
          <w:color w:val="000000"/>
          <w:sz w:val="28"/>
          <w:szCs w:val="28"/>
        </w:rPr>
        <w:t xml:space="preserve"> характера в сумме</w:t>
      </w:r>
      <w:r w:rsidR="00317403">
        <w:rPr>
          <w:sz w:val="28"/>
          <w:szCs w:val="28"/>
        </w:rPr>
        <w:t xml:space="preserve">3911,00 </w:t>
      </w:r>
      <w:r w:rsidR="00A81A80">
        <w:rPr>
          <w:sz w:val="28"/>
          <w:szCs w:val="28"/>
        </w:rPr>
        <w:t xml:space="preserve">тыс. </w:t>
      </w:r>
      <w:r w:rsidRPr="00A55A72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2023 год </w:t>
      </w:r>
      <w:r w:rsidR="0064080C">
        <w:rPr>
          <w:sz w:val="28"/>
          <w:szCs w:val="28"/>
        </w:rPr>
        <w:t>–</w:t>
      </w:r>
      <w:r w:rsidR="00317403">
        <w:rPr>
          <w:sz w:val="28"/>
          <w:szCs w:val="28"/>
        </w:rPr>
        <w:t>4022,7</w:t>
      </w:r>
      <w:r w:rsidR="0064080C">
        <w:rPr>
          <w:sz w:val="28"/>
          <w:szCs w:val="28"/>
        </w:rPr>
        <w:t xml:space="preserve"> тыс.</w:t>
      </w:r>
      <w:r w:rsidRPr="00A55A72">
        <w:rPr>
          <w:sz w:val="28"/>
          <w:szCs w:val="28"/>
        </w:rPr>
        <w:t xml:space="preserve">  рублей,</w:t>
      </w:r>
      <w:r w:rsidR="00A81A80">
        <w:rPr>
          <w:color w:val="000000"/>
          <w:sz w:val="28"/>
          <w:szCs w:val="28"/>
        </w:rPr>
        <w:t xml:space="preserve">в </w:t>
      </w:r>
      <w:r w:rsidRPr="00A55A72">
        <w:rPr>
          <w:color w:val="000000"/>
          <w:sz w:val="28"/>
          <w:szCs w:val="28"/>
        </w:rPr>
        <w:t>том числе за счет поступлений нецелевого</w:t>
      </w:r>
      <w:r>
        <w:rPr>
          <w:color w:val="000000"/>
          <w:sz w:val="28"/>
          <w:szCs w:val="28"/>
        </w:rPr>
        <w:t xml:space="preserve"> характера в сумме </w:t>
      </w:r>
      <w:r w:rsidR="00675C48">
        <w:rPr>
          <w:color w:val="000000"/>
          <w:sz w:val="28"/>
          <w:szCs w:val="28"/>
        </w:rPr>
        <w:t>3962,9</w:t>
      </w:r>
      <w:r w:rsidR="0064080C">
        <w:rPr>
          <w:color w:val="000000"/>
          <w:sz w:val="28"/>
          <w:szCs w:val="28"/>
        </w:rPr>
        <w:t xml:space="preserve"> тыс.</w:t>
      </w:r>
      <w:r w:rsidRPr="00A55A72">
        <w:rPr>
          <w:color w:val="000000"/>
          <w:sz w:val="28"/>
          <w:szCs w:val="28"/>
        </w:rPr>
        <w:t>рублей</w:t>
      </w:r>
      <w:r w:rsidRPr="00A55A72">
        <w:rPr>
          <w:sz w:val="28"/>
          <w:szCs w:val="28"/>
        </w:rPr>
        <w:t>.</w:t>
      </w:r>
    </w:p>
    <w:p w:rsidR="00AE0D73" w:rsidRPr="00C8778B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D73" w:rsidRPr="004A3E6B" w:rsidRDefault="00C0680B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9" w:history="1">
        <w:r w:rsidR="00AE0D73" w:rsidRPr="004A3E6B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AE0D73" w:rsidRPr="004A3E6B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proofErr w:type="spellStart"/>
      <w:r w:rsidR="00AE0D7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AE0D7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AE0D73">
        <w:rPr>
          <w:rFonts w:ascii="Times New Roman" w:hAnsi="Times New Roman" w:cs="Times New Roman"/>
          <w:sz w:val="28"/>
          <w:szCs w:val="28"/>
        </w:rPr>
        <w:t>поселения</w:t>
      </w:r>
      <w:r w:rsidR="00AE0D73"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AE0D73"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AE0D73" w:rsidRPr="004A3E6B">
        <w:rPr>
          <w:rFonts w:ascii="Times New Roman" w:hAnsi="Times New Roman" w:cs="Times New Roman"/>
          <w:sz w:val="28"/>
          <w:szCs w:val="28"/>
        </w:rPr>
        <w:t xml:space="preserve">  представлен в </w:t>
      </w:r>
      <w:r w:rsidR="00AE0D73">
        <w:rPr>
          <w:rFonts w:ascii="Times New Roman" w:hAnsi="Times New Roman" w:cs="Times New Roman"/>
          <w:sz w:val="28"/>
          <w:szCs w:val="28"/>
        </w:rPr>
        <w:t>таблице</w:t>
      </w:r>
      <w:r w:rsidR="00AE0D73" w:rsidRPr="004A3E6B">
        <w:rPr>
          <w:rFonts w:ascii="Times New Roman" w:hAnsi="Times New Roman" w:cs="Times New Roman"/>
          <w:sz w:val="28"/>
          <w:szCs w:val="28"/>
        </w:rPr>
        <w:t xml:space="preserve"> N1 к бюджетному прогнозу.</w:t>
      </w:r>
    </w:p>
    <w:p w:rsidR="00AE0D73" w:rsidRPr="00C8778B" w:rsidRDefault="00C0680B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245" w:history="1">
        <w:r w:rsidR="00AE0D73" w:rsidRPr="004A3E6B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AE0D73" w:rsidRPr="00C8778B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AE0D73">
        <w:rPr>
          <w:rFonts w:ascii="Times New Roman" w:hAnsi="Times New Roman" w:cs="Times New Roman"/>
          <w:sz w:val="28"/>
          <w:szCs w:val="28"/>
        </w:rPr>
        <w:t>муниципаль</w:t>
      </w:r>
      <w:r w:rsidR="00AE0D73" w:rsidRPr="00C8778B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AE0D7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AE0D7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AE0D73">
        <w:rPr>
          <w:rFonts w:ascii="Times New Roman" w:hAnsi="Times New Roman" w:cs="Times New Roman"/>
          <w:sz w:val="28"/>
          <w:szCs w:val="28"/>
        </w:rPr>
        <w:t>поселения</w:t>
      </w:r>
      <w:r w:rsidR="00AE0D73" w:rsidRPr="0019216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AE0D73" w:rsidRPr="00192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AE0D73" w:rsidRPr="00C8778B">
        <w:rPr>
          <w:rFonts w:ascii="Times New Roman" w:hAnsi="Times New Roman" w:cs="Times New Roman"/>
          <w:sz w:val="28"/>
          <w:szCs w:val="28"/>
        </w:rPr>
        <w:t>на период их действия за счет средств</w:t>
      </w:r>
      <w:r w:rsidR="00AE0D73">
        <w:rPr>
          <w:rFonts w:ascii="Times New Roman" w:hAnsi="Times New Roman" w:cs="Times New Roman"/>
          <w:sz w:val="28"/>
          <w:szCs w:val="28"/>
        </w:rPr>
        <w:t xml:space="preserve"> местного, </w:t>
      </w:r>
      <w:r w:rsidR="00AE0D73" w:rsidRPr="00C8778B">
        <w:rPr>
          <w:rFonts w:ascii="Times New Roman" w:hAnsi="Times New Roman" w:cs="Times New Roman"/>
          <w:sz w:val="28"/>
          <w:szCs w:val="28"/>
        </w:rPr>
        <w:t>областного</w:t>
      </w:r>
      <w:r w:rsidR="00AE0D73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r w:rsidR="00AE0D73" w:rsidRPr="00C8778B">
        <w:rPr>
          <w:rFonts w:ascii="Times New Roman" w:hAnsi="Times New Roman" w:cs="Times New Roman"/>
          <w:sz w:val="28"/>
          <w:szCs w:val="28"/>
        </w:rPr>
        <w:t>бюджет</w:t>
      </w:r>
      <w:r w:rsidR="00AE0D73">
        <w:rPr>
          <w:rFonts w:ascii="Times New Roman" w:hAnsi="Times New Roman" w:cs="Times New Roman"/>
          <w:sz w:val="28"/>
          <w:szCs w:val="28"/>
        </w:rPr>
        <w:t>ов</w:t>
      </w:r>
      <w:r w:rsidR="00AE0D73" w:rsidRPr="00C8778B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AE0D73">
        <w:rPr>
          <w:rFonts w:ascii="Times New Roman" w:hAnsi="Times New Roman" w:cs="Times New Roman"/>
          <w:sz w:val="28"/>
          <w:szCs w:val="28"/>
        </w:rPr>
        <w:t>таблице</w:t>
      </w:r>
      <w:r w:rsidR="00AE0D73" w:rsidRPr="00C8778B">
        <w:rPr>
          <w:rFonts w:ascii="Times New Roman" w:hAnsi="Times New Roman" w:cs="Times New Roman"/>
          <w:sz w:val="28"/>
          <w:szCs w:val="28"/>
        </w:rPr>
        <w:t xml:space="preserve"> N 2 к бюджетному прогнозу.</w:t>
      </w:r>
    </w:p>
    <w:p w:rsidR="00AE0D73" w:rsidRDefault="00AE0D73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E0D73" w:rsidRDefault="00AE0D73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E0D73" w:rsidRDefault="00AE0D73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24E1" w:rsidRDefault="006B24E1" w:rsidP="006B24E1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6B24E1" w:rsidSect="006B24E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B24E1" w:rsidRDefault="006B24E1" w:rsidP="006B24E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396" w:type="dxa"/>
        <w:tblInd w:w="93" w:type="dxa"/>
        <w:tblLook w:val="04A0"/>
      </w:tblPr>
      <w:tblGrid>
        <w:gridCol w:w="696"/>
        <w:gridCol w:w="4600"/>
        <w:gridCol w:w="1400"/>
        <w:gridCol w:w="1220"/>
        <w:gridCol w:w="1180"/>
        <w:gridCol w:w="1320"/>
        <w:gridCol w:w="1420"/>
        <w:gridCol w:w="1200"/>
        <w:gridCol w:w="1060"/>
        <w:gridCol w:w="1300"/>
      </w:tblGrid>
      <w:tr w:rsidR="006B24E1" w:rsidRPr="006B24E1" w:rsidTr="006B24E1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right"/>
              <w:rPr>
                <w:sz w:val="20"/>
                <w:szCs w:val="20"/>
              </w:rPr>
            </w:pPr>
            <w:r w:rsidRPr="006B24E1">
              <w:rPr>
                <w:sz w:val="20"/>
                <w:szCs w:val="20"/>
              </w:rPr>
              <w:t xml:space="preserve">Приложение </w:t>
            </w:r>
          </w:p>
        </w:tc>
      </w:tr>
      <w:tr w:rsidR="006B24E1" w:rsidRPr="006B24E1" w:rsidTr="006B24E1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right"/>
              <w:rPr>
                <w:sz w:val="20"/>
                <w:szCs w:val="20"/>
              </w:rPr>
            </w:pPr>
            <w:r w:rsidRPr="006B24E1">
              <w:rPr>
                <w:sz w:val="20"/>
                <w:szCs w:val="20"/>
              </w:rPr>
              <w:t xml:space="preserve">к бюджетному прогнозу </w:t>
            </w:r>
            <w:proofErr w:type="spellStart"/>
            <w:r w:rsidRPr="006B24E1">
              <w:rPr>
                <w:sz w:val="20"/>
                <w:szCs w:val="20"/>
              </w:rPr>
              <w:t>Кипского</w:t>
            </w:r>
            <w:proofErr w:type="spellEnd"/>
            <w:r w:rsidRPr="006B24E1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6B24E1" w:rsidRPr="006B24E1" w:rsidTr="006B24E1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right"/>
              <w:rPr>
                <w:sz w:val="20"/>
                <w:szCs w:val="20"/>
              </w:rPr>
            </w:pPr>
            <w:proofErr w:type="spellStart"/>
            <w:r w:rsidRPr="006B24E1">
              <w:rPr>
                <w:sz w:val="20"/>
                <w:szCs w:val="20"/>
              </w:rPr>
              <w:t>Тевризского</w:t>
            </w:r>
            <w:proofErr w:type="spellEnd"/>
            <w:r w:rsidRPr="006B24E1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6B24E1" w:rsidRPr="006B24E1" w:rsidTr="006B24E1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right"/>
              <w:rPr>
                <w:sz w:val="20"/>
                <w:szCs w:val="20"/>
              </w:rPr>
            </w:pPr>
            <w:r w:rsidRPr="006B24E1">
              <w:rPr>
                <w:sz w:val="20"/>
                <w:szCs w:val="20"/>
              </w:rPr>
              <w:t>на долгосрочный период с 2017 по 2023 год</w:t>
            </w:r>
          </w:p>
        </w:tc>
      </w:tr>
      <w:tr w:rsidR="006B24E1" w:rsidRPr="006B24E1" w:rsidTr="006B24E1">
        <w:trPr>
          <w:trHeight w:val="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</w:p>
        </w:tc>
      </w:tr>
      <w:tr w:rsidR="006B24E1" w:rsidRPr="006B24E1" w:rsidTr="006B24E1">
        <w:trPr>
          <w:trHeight w:val="80"/>
        </w:trPr>
        <w:tc>
          <w:tcPr>
            <w:tcW w:w="15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right"/>
              <w:rPr>
                <w:sz w:val="22"/>
                <w:szCs w:val="22"/>
              </w:rPr>
            </w:pPr>
            <w:r w:rsidRPr="006B24E1">
              <w:rPr>
                <w:sz w:val="22"/>
                <w:szCs w:val="22"/>
              </w:rPr>
              <w:t>Таблица 1</w:t>
            </w:r>
          </w:p>
        </w:tc>
      </w:tr>
      <w:tr w:rsidR="006B24E1" w:rsidRPr="006B24E1" w:rsidTr="006B24E1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sz w:val="28"/>
                <w:szCs w:val="28"/>
              </w:rPr>
            </w:pPr>
          </w:p>
        </w:tc>
      </w:tr>
      <w:tr w:rsidR="006B24E1" w:rsidRPr="006B24E1" w:rsidTr="006B24E1">
        <w:trPr>
          <w:trHeight w:val="80"/>
        </w:trPr>
        <w:tc>
          <w:tcPr>
            <w:tcW w:w="15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Прогноз</w:t>
            </w:r>
          </w:p>
        </w:tc>
      </w:tr>
      <w:tr w:rsidR="006B24E1" w:rsidRPr="006B24E1" w:rsidTr="006B24E1">
        <w:trPr>
          <w:trHeight w:val="315"/>
        </w:trPr>
        <w:tc>
          <w:tcPr>
            <w:tcW w:w="15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 xml:space="preserve">основных характеристик бюджета </w:t>
            </w:r>
            <w:proofErr w:type="spellStart"/>
            <w:r w:rsidRPr="006B24E1">
              <w:t>Кипского</w:t>
            </w:r>
            <w:proofErr w:type="spellEnd"/>
            <w:r w:rsidRPr="006B24E1">
              <w:t xml:space="preserve"> сельского поселения</w:t>
            </w:r>
          </w:p>
        </w:tc>
      </w:tr>
      <w:tr w:rsidR="006B24E1" w:rsidRPr="006B24E1" w:rsidTr="006B24E1">
        <w:trPr>
          <w:trHeight w:val="300"/>
        </w:trPr>
        <w:tc>
          <w:tcPr>
            <w:tcW w:w="15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proofErr w:type="spellStart"/>
            <w:r w:rsidRPr="006B24E1">
              <w:t>Тевризского</w:t>
            </w:r>
            <w:proofErr w:type="spellEnd"/>
            <w:r w:rsidRPr="006B24E1">
              <w:t xml:space="preserve">  муниципального района Омской области</w:t>
            </w:r>
          </w:p>
        </w:tc>
      </w:tr>
      <w:tr w:rsidR="006B24E1" w:rsidRPr="006B24E1" w:rsidTr="006B24E1">
        <w:trPr>
          <w:trHeight w:val="80"/>
        </w:trPr>
        <w:tc>
          <w:tcPr>
            <w:tcW w:w="15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</w:p>
        </w:tc>
      </w:tr>
      <w:tr w:rsidR="006B24E1" w:rsidRPr="006B24E1" w:rsidTr="006B24E1">
        <w:trPr>
          <w:trHeight w:val="80"/>
        </w:trPr>
        <w:tc>
          <w:tcPr>
            <w:tcW w:w="15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right"/>
              <w:rPr>
                <w:sz w:val="20"/>
                <w:szCs w:val="20"/>
              </w:rPr>
            </w:pPr>
            <w:r w:rsidRPr="006B24E1">
              <w:rPr>
                <w:sz w:val="20"/>
                <w:szCs w:val="20"/>
              </w:rPr>
              <w:t>(тыс. рублей)</w:t>
            </w:r>
          </w:p>
        </w:tc>
      </w:tr>
      <w:tr w:rsidR="006B24E1" w:rsidRPr="006B24E1" w:rsidTr="006B24E1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 xml:space="preserve">№ </w:t>
            </w:r>
            <w:proofErr w:type="spellStart"/>
            <w:proofErr w:type="gramStart"/>
            <w:r w:rsidRPr="006B24E1">
              <w:t>п</w:t>
            </w:r>
            <w:proofErr w:type="spellEnd"/>
            <w:proofErr w:type="gramEnd"/>
            <w:r w:rsidRPr="006B24E1">
              <w:t>/</w:t>
            </w:r>
            <w:proofErr w:type="spellStart"/>
            <w:r w:rsidRPr="006B24E1"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Показатель</w:t>
            </w:r>
          </w:p>
        </w:tc>
        <w:tc>
          <w:tcPr>
            <w:tcW w:w="10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Значение по годам</w:t>
            </w:r>
          </w:p>
        </w:tc>
      </w:tr>
      <w:tr w:rsidR="006B24E1" w:rsidRPr="006B24E1" w:rsidTr="006B24E1">
        <w:trPr>
          <w:trHeight w:val="4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4E1" w:rsidRPr="006B24E1" w:rsidRDefault="006B24E1" w:rsidP="006B24E1"/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E1" w:rsidRPr="006B24E1" w:rsidRDefault="006B24E1" w:rsidP="006B24E1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2016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2017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2018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2019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2023 год</w:t>
            </w:r>
          </w:p>
        </w:tc>
      </w:tr>
      <w:tr w:rsidR="006B24E1" w:rsidRPr="006B24E1" w:rsidTr="006B24E1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10</w:t>
            </w:r>
          </w:p>
        </w:tc>
      </w:tr>
      <w:tr w:rsidR="006B24E1" w:rsidRPr="006B24E1" w:rsidTr="006B24E1">
        <w:trPr>
          <w:trHeight w:val="300"/>
        </w:trPr>
        <w:tc>
          <w:tcPr>
            <w:tcW w:w="1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 xml:space="preserve">Бюджет </w:t>
            </w:r>
            <w:proofErr w:type="spellStart"/>
            <w:r w:rsidRPr="006B24E1">
              <w:t>Кипского</w:t>
            </w:r>
            <w:proofErr w:type="spellEnd"/>
            <w:r w:rsidRPr="006B24E1">
              <w:t xml:space="preserve"> сельского поселения </w:t>
            </w:r>
            <w:proofErr w:type="spellStart"/>
            <w:r w:rsidRPr="006B24E1">
              <w:t>Тевризского</w:t>
            </w:r>
            <w:proofErr w:type="spellEnd"/>
            <w:r w:rsidRPr="006B24E1">
              <w:t xml:space="preserve"> муниципального района Омской области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r w:rsidRPr="006B24E1">
              <w:t>Доходы,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3 114,1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2 996,9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3 373,4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3 354,9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3 659,8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3 701,6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3 836,1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4 022,7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r w:rsidRPr="006B24E1"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1 470,5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1 070,1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1 219,3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1 351,6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1 269,1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1 581,8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1 692,2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1 739,9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r w:rsidRPr="006B24E1">
              <w:t>Безвозмездные поступления,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1 643,6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1 926,9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2 154,1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2 003,2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2 390,7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2 117,8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2 136,1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2 282,8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r w:rsidRPr="006B24E1">
              <w:t>целевого характера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52,2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50,5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49,3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64,8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57,7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54,3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73,2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r w:rsidRPr="006B24E1">
              <w:t>нецелевого характера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1 591,4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1 876,4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2 104,8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1 938,4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2 333,0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2 063,5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2 706,3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2 209,6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r w:rsidRPr="006B24E1">
              <w:t>Расходы,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2 986,5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2 994,8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3 161,1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3 497,3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3 778,6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3 809,3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3 992,0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4 022,7</w:t>
            </w:r>
          </w:p>
        </w:tc>
      </w:tr>
      <w:tr w:rsidR="006B24E1" w:rsidRPr="006B24E1" w:rsidTr="006B24E1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r w:rsidRPr="006B24E1">
              <w:t xml:space="preserve">Расходы на реализацию муниципальных программ </w:t>
            </w:r>
            <w:proofErr w:type="spellStart"/>
            <w:r w:rsidRPr="006B24E1">
              <w:t>Кипского</w:t>
            </w:r>
            <w:proofErr w:type="spellEnd"/>
            <w:r w:rsidRPr="006B24E1">
              <w:t xml:space="preserve"> сельского поселения </w:t>
            </w:r>
            <w:proofErr w:type="spellStart"/>
            <w:r w:rsidRPr="006B24E1">
              <w:t>Тевризского</w:t>
            </w:r>
            <w:proofErr w:type="spellEnd"/>
            <w:r w:rsidRPr="006B24E1">
              <w:t xml:space="preserve"> муниципального района Омской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2 975,8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2 994,8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3 161,1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3 497,3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3 575,4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3 809,3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3 992,0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4 022,7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roofErr w:type="spellStart"/>
            <w:r w:rsidRPr="006B24E1">
              <w:t>Непрограммные</w:t>
            </w:r>
            <w:proofErr w:type="spellEnd"/>
            <w:r w:rsidRPr="006B24E1">
              <w:t xml:space="preserve"> расходы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203,2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</w:tr>
      <w:tr w:rsidR="006B24E1" w:rsidRPr="006B24E1" w:rsidTr="006B24E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6B24E1">
            <w:r w:rsidRPr="006B24E1">
              <w:t>Дефицит/</w:t>
            </w:r>
            <w:proofErr w:type="spellStart"/>
            <w:r w:rsidRPr="006B24E1">
              <w:t>профицит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127,6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212,3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142,4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107,7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155,9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</w:tr>
      <w:tr w:rsidR="006B24E1" w:rsidRPr="006B24E1" w:rsidTr="006B24E1">
        <w:trPr>
          <w:trHeight w:val="11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1" w:rsidRPr="006B24E1" w:rsidRDefault="006B24E1" w:rsidP="006B24E1">
            <w: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E1" w:rsidRPr="006B24E1" w:rsidRDefault="006B24E1" w:rsidP="006B24E1">
            <w:r w:rsidRPr="006B24E1">
              <w:t xml:space="preserve">Объем муниципального долга </w:t>
            </w:r>
            <w:proofErr w:type="spellStart"/>
            <w:r w:rsidRPr="006B24E1">
              <w:t>Кипского</w:t>
            </w:r>
            <w:proofErr w:type="spellEnd"/>
            <w:r w:rsidRPr="006B24E1">
              <w:t xml:space="preserve"> сельского поселения </w:t>
            </w:r>
            <w:proofErr w:type="spellStart"/>
            <w:r w:rsidRPr="006B24E1">
              <w:t>Тевризского</w:t>
            </w:r>
            <w:proofErr w:type="spellEnd"/>
            <w:r w:rsidRPr="006B24E1">
              <w:t xml:space="preserve"> муниципального района Омской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</w:pPr>
            <w:r w:rsidRPr="006B24E1">
              <w:t> </w:t>
            </w:r>
          </w:p>
        </w:tc>
      </w:tr>
      <w:tr w:rsidR="006B24E1" w:rsidRPr="006B24E1" w:rsidTr="006B24E1">
        <w:trPr>
          <w:trHeight w:val="3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24E1" w:rsidRPr="006B24E1" w:rsidTr="006B24E1">
        <w:trPr>
          <w:trHeight w:val="255"/>
        </w:trPr>
        <w:tc>
          <w:tcPr>
            <w:tcW w:w="15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6B24E1">
            <w:pPr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lastRenderedPageBreak/>
              <w:t xml:space="preserve">*-Количество граф соответствует периоду действия бюджетного прогноза </w:t>
            </w:r>
            <w:proofErr w:type="spellStart"/>
            <w:r w:rsidRPr="006B24E1">
              <w:rPr>
                <w:sz w:val="16"/>
                <w:szCs w:val="16"/>
              </w:rPr>
              <w:t>Кипского</w:t>
            </w:r>
            <w:proofErr w:type="spellEnd"/>
            <w:r w:rsidRPr="006B24E1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6B24E1">
              <w:rPr>
                <w:sz w:val="16"/>
                <w:szCs w:val="16"/>
              </w:rPr>
              <w:t>Тевризского</w:t>
            </w:r>
            <w:proofErr w:type="spellEnd"/>
            <w:r w:rsidRPr="006B24E1">
              <w:rPr>
                <w:sz w:val="16"/>
                <w:szCs w:val="16"/>
              </w:rPr>
              <w:t xml:space="preserve"> муниципального района Омской области на долгосрочный период</w:t>
            </w:r>
          </w:p>
        </w:tc>
      </w:tr>
    </w:tbl>
    <w:p w:rsidR="006B24E1" w:rsidRDefault="006B24E1" w:rsidP="006B24E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B24E1" w:rsidRDefault="006B24E1" w:rsidP="006B24E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5160" w:type="dxa"/>
        <w:tblInd w:w="93" w:type="dxa"/>
        <w:tblLook w:val="04A0"/>
      </w:tblPr>
      <w:tblGrid>
        <w:gridCol w:w="800"/>
        <w:gridCol w:w="4600"/>
        <w:gridCol w:w="1360"/>
        <w:gridCol w:w="1140"/>
        <w:gridCol w:w="1240"/>
        <w:gridCol w:w="1240"/>
        <w:gridCol w:w="1160"/>
        <w:gridCol w:w="1080"/>
        <w:gridCol w:w="1180"/>
        <w:gridCol w:w="1360"/>
      </w:tblGrid>
      <w:tr w:rsidR="006B24E1" w:rsidRPr="006B24E1" w:rsidTr="00592D43">
        <w:trPr>
          <w:trHeight w:val="345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right"/>
              <w:rPr>
                <w:sz w:val="22"/>
                <w:szCs w:val="22"/>
              </w:rPr>
            </w:pPr>
            <w:r w:rsidRPr="006B24E1">
              <w:rPr>
                <w:sz w:val="22"/>
                <w:szCs w:val="22"/>
              </w:rPr>
              <w:t>Таблица 2</w:t>
            </w:r>
          </w:p>
        </w:tc>
      </w:tr>
      <w:tr w:rsidR="006B24E1" w:rsidRPr="006B24E1" w:rsidTr="00592D43">
        <w:trPr>
          <w:trHeight w:val="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sz w:val="28"/>
                <w:szCs w:val="28"/>
              </w:rPr>
            </w:pPr>
          </w:p>
        </w:tc>
      </w:tr>
      <w:tr w:rsidR="006B24E1" w:rsidRPr="006B24E1" w:rsidTr="00592D43">
        <w:trPr>
          <w:trHeight w:val="345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Показатели</w:t>
            </w:r>
          </w:p>
        </w:tc>
      </w:tr>
      <w:tr w:rsidR="006B24E1" w:rsidRPr="006B24E1" w:rsidTr="00592D43">
        <w:trPr>
          <w:trHeight w:val="360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 xml:space="preserve">финансового обеспечения муниципальных программ </w:t>
            </w:r>
            <w:proofErr w:type="spellStart"/>
            <w:r w:rsidRPr="006B24E1">
              <w:t>Кипского</w:t>
            </w:r>
            <w:proofErr w:type="spellEnd"/>
            <w:r w:rsidRPr="006B24E1">
              <w:t xml:space="preserve"> сельского поселения</w:t>
            </w:r>
          </w:p>
        </w:tc>
      </w:tr>
      <w:tr w:rsidR="006B24E1" w:rsidRPr="006B24E1" w:rsidTr="00592D43">
        <w:trPr>
          <w:trHeight w:val="360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  <w:proofErr w:type="spellStart"/>
            <w:r w:rsidRPr="006B24E1">
              <w:t>Тевризского</w:t>
            </w:r>
            <w:proofErr w:type="spellEnd"/>
            <w:r w:rsidRPr="006B24E1">
              <w:t xml:space="preserve"> муниципального района Омской области</w:t>
            </w:r>
          </w:p>
        </w:tc>
      </w:tr>
      <w:tr w:rsidR="006B24E1" w:rsidRPr="006B24E1" w:rsidTr="00592D43">
        <w:trPr>
          <w:trHeight w:val="345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(далее - муниципальная программа) из бюджета поселения</w:t>
            </w:r>
          </w:p>
        </w:tc>
      </w:tr>
      <w:tr w:rsidR="006B24E1" w:rsidRPr="006B24E1" w:rsidTr="00592D43">
        <w:trPr>
          <w:trHeight w:val="255"/>
        </w:trPr>
        <w:tc>
          <w:tcPr>
            <w:tcW w:w="15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right"/>
              <w:rPr>
                <w:sz w:val="20"/>
                <w:szCs w:val="20"/>
              </w:rPr>
            </w:pPr>
            <w:r w:rsidRPr="006B24E1">
              <w:rPr>
                <w:sz w:val="20"/>
                <w:szCs w:val="20"/>
              </w:rPr>
              <w:t>(тыс. рублей)</w:t>
            </w:r>
          </w:p>
        </w:tc>
      </w:tr>
      <w:tr w:rsidR="006B24E1" w:rsidRPr="006B24E1" w:rsidTr="00592D43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 xml:space="preserve">№ </w:t>
            </w:r>
            <w:proofErr w:type="spellStart"/>
            <w:proofErr w:type="gramStart"/>
            <w:r w:rsidRPr="006B24E1">
              <w:t>п</w:t>
            </w:r>
            <w:proofErr w:type="spellEnd"/>
            <w:proofErr w:type="gramEnd"/>
            <w:r w:rsidRPr="006B24E1">
              <w:t>/</w:t>
            </w:r>
            <w:proofErr w:type="spellStart"/>
            <w:r w:rsidRPr="006B24E1"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Показатель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Значение по годам</w:t>
            </w:r>
          </w:p>
        </w:tc>
      </w:tr>
      <w:tr w:rsidR="006B24E1" w:rsidRPr="006B24E1" w:rsidTr="00592D43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4E1" w:rsidRPr="006B24E1" w:rsidRDefault="006B24E1" w:rsidP="00592D43"/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E1" w:rsidRPr="006B24E1" w:rsidRDefault="006B24E1" w:rsidP="00592D43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2016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2017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2018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2019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2022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2023 год</w:t>
            </w:r>
          </w:p>
        </w:tc>
      </w:tr>
      <w:tr w:rsidR="006B24E1" w:rsidRPr="006B24E1" w:rsidTr="00592D43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r w:rsidRPr="006B24E1">
              <w:t>Расходы на реализацию муниципальных программ,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2 986,5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2 994,8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3 161,1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3 497,3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3 778,6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3 809,3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3 992,0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4 022,7</w:t>
            </w:r>
          </w:p>
        </w:tc>
      </w:tr>
      <w:tr w:rsidR="006B24E1" w:rsidRPr="006B24E1" w:rsidTr="00592D43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592D43">
            <w:r w:rsidRPr="006B24E1">
              <w:t>за счет поступлений целевого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52,2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64,8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54,3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73,2</w:t>
            </w:r>
          </w:p>
        </w:tc>
      </w:tr>
      <w:tr w:rsidR="006B24E1" w:rsidRPr="006B24E1" w:rsidTr="00592D43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E1" w:rsidRPr="006B24E1" w:rsidRDefault="006B24E1" w:rsidP="00592D43">
            <w:r w:rsidRPr="006B24E1">
              <w:t>за счет поступлений нецелевого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2 934,3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2 944,3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3 111,8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3 432,5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3 720,9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3 755,0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3 932,2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1" w:rsidRPr="006B24E1" w:rsidRDefault="006B24E1" w:rsidP="00592D43">
            <w:pPr>
              <w:jc w:val="center"/>
            </w:pPr>
            <w:r w:rsidRPr="006B24E1">
              <w:t>3 949,5</w:t>
            </w:r>
          </w:p>
        </w:tc>
      </w:tr>
      <w:tr w:rsidR="006B24E1" w:rsidRPr="006B24E1" w:rsidTr="00592D43">
        <w:trPr>
          <w:trHeight w:val="1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24E1" w:rsidRPr="006B24E1" w:rsidTr="00592D43">
        <w:trPr>
          <w:trHeight w:val="255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 xml:space="preserve">*-Количество граф соответствует периоду действия бюджетного прогноза </w:t>
            </w:r>
            <w:proofErr w:type="spellStart"/>
            <w:r w:rsidRPr="006B24E1">
              <w:rPr>
                <w:sz w:val="16"/>
                <w:szCs w:val="16"/>
              </w:rPr>
              <w:t>Кипского</w:t>
            </w:r>
            <w:proofErr w:type="spellEnd"/>
            <w:r w:rsidRPr="006B24E1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6B24E1">
              <w:rPr>
                <w:sz w:val="16"/>
                <w:szCs w:val="16"/>
              </w:rPr>
              <w:t>Тевризского</w:t>
            </w:r>
            <w:proofErr w:type="spellEnd"/>
            <w:r w:rsidRPr="006B24E1">
              <w:rPr>
                <w:sz w:val="16"/>
                <w:szCs w:val="16"/>
              </w:rPr>
              <w:t xml:space="preserve"> муниципального района Омской области на долгосрочный период</w:t>
            </w:r>
          </w:p>
        </w:tc>
      </w:tr>
      <w:tr w:rsidR="006B24E1" w:rsidRPr="006B24E1" w:rsidTr="00592D43">
        <w:trPr>
          <w:trHeight w:val="240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16"/>
                <w:szCs w:val="16"/>
              </w:rPr>
            </w:pPr>
            <w:r w:rsidRPr="006B24E1">
              <w:rPr>
                <w:sz w:val="16"/>
                <w:szCs w:val="16"/>
              </w:rPr>
              <w:t>Заполнение граф осуществляется с учетом периода действия муниципальных программ</w:t>
            </w:r>
          </w:p>
        </w:tc>
      </w:tr>
      <w:tr w:rsidR="006B24E1" w:rsidRPr="006B24E1" w:rsidTr="00592D43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/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</w:tr>
      <w:tr w:rsidR="006B24E1" w:rsidRPr="006B24E1" w:rsidTr="00592D43">
        <w:trPr>
          <w:trHeight w:val="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jc w:val="center"/>
            </w:pPr>
          </w:p>
        </w:tc>
      </w:tr>
      <w:tr w:rsidR="006B24E1" w:rsidRPr="006B24E1" w:rsidTr="00592D43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E1" w:rsidRPr="006B24E1" w:rsidRDefault="006B24E1" w:rsidP="00592D43">
            <w:pPr>
              <w:rPr>
                <w:sz w:val="20"/>
                <w:szCs w:val="20"/>
              </w:rPr>
            </w:pPr>
          </w:p>
        </w:tc>
      </w:tr>
    </w:tbl>
    <w:p w:rsidR="006B24E1" w:rsidRDefault="006B24E1" w:rsidP="006B24E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6B24E1" w:rsidSect="006B24E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B24E1" w:rsidRDefault="006B24E1" w:rsidP="006B24E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sectPr w:rsidR="006B24E1" w:rsidSect="006B24E1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D5F"/>
    <w:multiLevelType w:val="hybridMultilevel"/>
    <w:tmpl w:val="170A4CE6"/>
    <w:lvl w:ilvl="0" w:tplc="627E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A66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346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74D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964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587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54F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9E8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DEE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07066E6"/>
    <w:multiLevelType w:val="hybridMultilevel"/>
    <w:tmpl w:val="083C45B0"/>
    <w:lvl w:ilvl="0" w:tplc="69B822E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06"/>
    <w:rsid w:val="00001361"/>
    <w:rsid w:val="000056CA"/>
    <w:rsid w:val="000059A4"/>
    <w:rsid w:val="0002193B"/>
    <w:rsid w:val="00022636"/>
    <w:rsid w:val="00031241"/>
    <w:rsid w:val="00042768"/>
    <w:rsid w:val="00043A2C"/>
    <w:rsid w:val="000609E3"/>
    <w:rsid w:val="00062C38"/>
    <w:rsid w:val="000642F1"/>
    <w:rsid w:val="000725CA"/>
    <w:rsid w:val="00090727"/>
    <w:rsid w:val="00092C69"/>
    <w:rsid w:val="00096340"/>
    <w:rsid w:val="00096F5F"/>
    <w:rsid w:val="00097711"/>
    <w:rsid w:val="000B03F2"/>
    <w:rsid w:val="000C2C89"/>
    <w:rsid w:val="000C3C92"/>
    <w:rsid w:val="000C40D3"/>
    <w:rsid w:val="000D5AA6"/>
    <w:rsid w:val="000D6139"/>
    <w:rsid w:val="000E664D"/>
    <w:rsid w:val="000E6F33"/>
    <w:rsid w:val="000E746E"/>
    <w:rsid w:val="00104F31"/>
    <w:rsid w:val="001102B6"/>
    <w:rsid w:val="00112F5A"/>
    <w:rsid w:val="00113D3F"/>
    <w:rsid w:val="001162C4"/>
    <w:rsid w:val="001409EB"/>
    <w:rsid w:val="00152284"/>
    <w:rsid w:val="001556A5"/>
    <w:rsid w:val="001605A6"/>
    <w:rsid w:val="00160A33"/>
    <w:rsid w:val="001777C5"/>
    <w:rsid w:val="00182E0F"/>
    <w:rsid w:val="001849B3"/>
    <w:rsid w:val="001920C7"/>
    <w:rsid w:val="00192160"/>
    <w:rsid w:val="00195DCC"/>
    <w:rsid w:val="00196573"/>
    <w:rsid w:val="001A362E"/>
    <w:rsid w:val="001C13D8"/>
    <w:rsid w:val="001D2593"/>
    <w:rsid w:val="001D31D4"/>
    <w:rsid w:val="001D4D4E"/>
    <w:rsid w:val="001D6C15"/>
    <w:rsid w:val="001D7E00"/>
    <w:rsid w:val="001E0A26"/>
    <w:rsid w:val="001E0E93"/>
    <w:rsid w:val="001E344F"/>
    <w:rsid w:val="001E7389"/>
    <w:rsid w:val="001F1714"/>
    <w:rsid w:val="001F1B31"/>
    <w:rsid w:val="001F2FFA"/>
    <w:rsid w:val="001F526C"/>
    <w:rsid w:val="001F6E3B"/>
    <w:rsid w:val="002034C8"/>
    <w:rsid w:val="00207B92"/>
    <w:rsid w:val="00212752"/>
    <w:rsid w:val="0021344B"/>
    <w:rsid w:val="0021485F"/>
    <w:rsid w:val="00217B73"/>
    <w:rsid w:val="00245416"/>
    <w:rsid w:val="00251E76"/>
    <w:rsid w:val="00264CB0"/>
    <w:rsid w:val="00270034"/>
    <w:rsid w:val="00270366"/>
    <w:rsid w:val="00276B0C"/>
    <w:rsid w:val="00276C82"/>
    <w:rsid w:val="002779D4"/>
    <w:rsid w:val="002822BA"/>
    <w:rsid w:val="0029246D"/>
    <w:rsid w:val="00293BB8"/>
    <w:rsid w:val="002A0CA2"/>
    <w:rsid w:val="002B3C2E"/>
    <w:rsid w:val="002B60A3"/>
    <w:rsid w:val="002C285C"/>
    <w:rsid w:val="002D556A"/>
    <w:rsid w:val="002E0388"/>
    <w:rsid w:val="002E43A1"/>
    <w:rsid w:val="002E58DA"/>
    <w:rsid w:val="002F08CB"/>
    <w:rsid w:val="00302FBA"/>
    <w:rsid w:val="00304615"/>
    <w:rsid w:val="00306B18"/>
    <w:rsid w:val="003071E1"/>
    <w:rsid w:val="00310184"/>
    <w:rsid w:val="0031111A"/>
    <w:rsid w:val="00312120"/>
    <w:rsid w:val="00317403"/>
    <w:rsid w:val="00330FED"/>
    <w:rsid w:val="0033556A"/>
    <w:rsid w:val="00335636"/>
    <w:rsid w:val="00350FC2"/>
    <w:rsid w:val="0035206A"/>
    <w:rsid w:val="00356B9B"/>
    <w:rsid w:val="00360EAC"/>
    <w:rsid w:val="00364AA2"/>
    <w:rsid w:val="00366752"/>
    <w:rsid w:val="0038138D"/>
    <w:rsid w:val="00381BE6"/>
    <w:rsid w:val="00382A5E"/>
    <w:rsid w:val="00394BB8"/>
    <w:rsid w:val="00397C69"/>
    <w:rsid w:val="003A0BD9"/>
    <w:rsid w:val="003A2881"/>
    <w:rsid w:val="003A4708"/>
    <w:rsid w:val="003A7848"/>
    <w:rsid w:val="003B1D62"/>
    <w:rsid w:val="003B35EA"/>
    <w:rsid w:val="003B4264"/>
    <w:rsid w:val="003B5984"/>
    <w:rsid w:val="003B6823"/>
    <w:rsid w:val="003C5423"/>
    <w:rsid w:val="003D1DF9"/>
    <w:rsid w:val="003E4374"/>
    <w:rsid w:val="003E56EE"/>
    <w:rsid w:val="003E77F4"/>
    <w:rsid w:val="003F1B43"/>
    <w:rsid w:val="003F34BB"/>
    <w:rsid w:val="003F476D"/>
    <w:rsid w:val="0040571A"/>
    <w:rsid w:val="004106E7"/>
    <w:rsid w:val="00411E26"/>
    <w:rsid w:val="004147F5"/>
    <w:rsid w:val="00433480"/>
    <w:rsid w:val="0044571D"/>
    <w:rsid w:val="0045306E"/>
    <w:rsid w:val="0045354D"/>
    <w:rsid w:val="00455207"/>
    <w:rsid w:val="0046462A"/>
    <w:rsid w:val="00471D75"/>
    <w:rsid w:val="004735B0"/>
    <w:rsid w:val="00475224"/>
    <w:rsid w:val="00475F10"/>
    <w:rsid w:val="00485ACA"/>
    <w:rsid w:val="00497696"/>
    <w:rsid w:val="004A3E6B"/>
    <w:rsid w:val="004B3C36"/>
    <w:rsid w:val="004B68DA"/>
    <w:rsid w:val="004C4534"/>
    <w:rsid w:val="004F7264"/>
    <w:rsid w:val="004F7763"/>
    <w:rsid w:val="00511A12"/>
    <w:rsid w:val="00513418"/>
    <w:rsid w:val="005269A1"/>
    <w:rsid w:val="0053018B"/>
    <w:rsid w:val="00533048"/>
    <w:rsid w:val="005340BC"/>
    <w:rsid w:val="00545F91"/>
    <w:rsid w:val="0055113D"/>
    <w:rsid w:val="00554C24"/>
    <w:rsid w:val="005576EA"/>
    <w:rsid w:val="00563197"/>
    <w:rsid w:val="005633C9"/>
    <w:rsid w:val="005670F9"/>
    <w:rsid w:val="00572E2B"/>
    <w:rsid w:val="00575520"/>
    <w:rsid w:val="00586952"/>
    <w:rsid w:val="00586ED8"/>
    <w:rsid w:val="00591633"/>
    <w:rsid w:val="005A1E8D"/>
    <w:rsid w:val="005A2E55"/>
    <w:rsid w:val="005A3254"/>
    <w:rsid w:val="005B1D0E"/>
    <w:rsid w:val="005B41AC"/>
    <w:rsid w:val="005B43E3"/>
    <w:rsid w:val="005B5517"/>
    <w:rsid w:val="005B64A1"/>
    <w:rsid w:val="005C21D7"/>
    <w:rsid w:val="005C313C"/>
    <w:rsid w:val="005C424B"/>
    <w:rsid w:val="005D124F"/>
    <w:rsid w:val="005D59FB"/>
    <w:rsid w:val="005E42B6"/>
    <w:rsid w:val="005F2FAF"/>
    <w:rsid w:val="006023CF"/>
    <w:rsid w:val="00620B5F"/>
    <w:rsid w:val="00621652"/>
    <w:rsid w:val="00624C3C"/>
    <w:rsid w:val="006373D0"/>
    <w:rsid w:val="0064080C"/>
    <w:rsid w:val="0066311C"/>
    <w:rsid w:val="0066725B"/>
    <w:rsid w:val="00670B68"/>
    <w:rsid w:val="006717C4"/>
    <w:rsid w:val="00671A9B"/>
    <w:rsid w:val="00673212"/>
    <w:rsid w:val="00674BD9"/>
    <w:rsid w:val="00674CCC"/>
    <w:rsid w:val="00675C48"/>
    <w:rsid w:val="0068666E"/>
    <w:rsid w:val="006920EA"/>
    <w:rsid w:val="006B24E1"/>
    <w:rsid w:val="006C11AD"/>
    <w:rsid w:val="006C4A31"/>
    <w:rsid w:val="006C5B13"/>
    <w:rsid w:val="006C63EB"/>
    <w:rsid w:val="006D7E01"/>
    <w:rsid w:val="006E116B"/>
    <w:rsid w:val="006E49D6"/>
    <w:rsid w:val="006F1125"/>
    <w:rsid w:val="006F4E02"/>
    <w:rsid w:val="006F5027"/>
    <w:rsid w:val="006F71D0"/>
    <w:rsid w:val="00700352"/>
    <w:rsid w:val="007041C4"/>
    <w:rsid w:val="00711F28"/>
    <w:rsid w:val="00717F01"/>
    <w:rsid w:val="00732948"/>
    <w:rsid w:val="007373BE"/>
    <w:rsid w:val="0074035C"/>
    <w:rsid w:val="00747C95"/>
    <w:rsid w:val="00747F75"/>
    <w:rsid w:val="0075105B"/>
    <w:rsid w:val="00754561"/>
    <w:rsid w:val="0078437C"/>
    <w:rsid w:val="00785DFC"/>
    <w:rsid w:val="007949FA"/>
    <w:rsid w:val="007A594D"/>
    <w:rsid w:val="007A6AA9"/>
    <w:rsid w:val="007A77D6"/>
    <w:rsid w:val="007B435A"/>
    <w:rsid w:val="007C126B"/>
    <w:rsid w:val="007D2B2B"/>
    <w:rsid w:val="007E49D0"/>
    <w:rsid w:val="00801F98"/>
    <w:rsid w:val="00805B07"/>
    <w:rsid w:val="00814258"/>
    <w:rsid w:val="0081502A"/>
    <w:rsid w:val="008241CF"/>
    <w:rsid w:val="0083597E"/>
    <w:rsid w:val="00836D0D"/>
    <w:rsid w:val="00836E7F"/>
    <w:rsid w:val="008506F3"/>
    <w:rsid w:val="00856039"/>
    <w:rsid w:val="00886548"/>
    <w:rsid w:val="00890EEB"/>
    <w:rsid w:val="00894B57"/>
    <w:rsid w:val="008964B6"/>
    <w:rsid w:val="008A20D4"/>
    <w:rsid w:val="008B7784"/>
    <w:rsid w:val="008C23FC"/>
    <w:rsid w:val="008C243F"/>
    <w:rsid w:val="008D0432"/>
    <w:rsid w:val="008D60E8"/>
    <w:rsid w:val="008E20AA"/>
    <w:rsid w:val="008E3AA3"/>
    <w:rsid w:val="008E44CC"/>
    <w:rsid w:val="00914C48"/>
    <w:rsid w:val="009310F0"/>
    <w:rsid w:val="009564F9"/>
    <w:rsid w:val="00963110"/>
    <w:rsid w:val="00967EE5"/>
    <w:rsid w:val="00985636"/>
    <w:rsid w:val="009950FC"/>
    <w:rsid w:val="009D0106"/>
    <w:rsid w:val="009D1162"/>
    <w:rsid w:val="009D7A3F"/>
    <w:rsid w:val="009F3A85"/>
    <w:rsid w:val="00A040D5"/>
    <w:rsid w:val="00A04811"/>
    <w:rsid w:val="00A233C7"/>
    <w:rsid w:val="00A2352B"/>
    <w:rsid w:val="00A27294"/>
    <w:rsid w:val="00A40E27"/>
    <w:rsid w:val="00A55A72"/>
    <w:rsid w:val="00A56AFC"/>
    <w:rsid w:val="00A62862"/>
    <w:rsid w:val="00A81A80"/>
    <w:rsid w:val="00A8783F"/>
    <w:rsid w:val="00AA54F7"/>
    <w:rsid w:val="00AA7FFA"/>
    <w:rsid w:val="00AC0519"/>
    <w:rsid w:val="00AC4F51"/>
    <w:rsid w:val="00AD1D36"/>
    <w:rsid w:val="00AE0D73"/>
    <w:rsid w:val="00AE3B61"/>
    <w:rsid w:val="00AE3CED"/>
    <w:rsid w:val="00B021AF"/>
    <w:rsid w:val="00B16D01"/>
    <w:rsid w:val="00B1725B"/>
    <w:rsid w:val="00B204CA"/>
    <w:rsid w:val="00B43B97"/>
    <w:rsid w:val="00B54C45"/>
    <w:rsid w:val="00B55237"/>
    <w:rsid w:val="00B60F60"/>
    <w:rsid w:val="00B66DFE"/>
    <w:rsid w:val="00B7216F"/>
    <w:rsid w:val="00B76046"/>
    <w:rsid w:val="00B77F59"/>
    <w:rsid w:val="00B857BB"/>
    <w:rsid w:val="00B90407"/>
    <w:rsid w:val="00BA3197"/>
    <w:rsid w:val="00BA45D4"/>
    <w:rsid w:val="00BC3698"/>
    <w:rsid w:val="00BD0EB2"/>
    <w:rsid w:val="00BD486A"/>
    <w:rsid w:val="00BE4A8E"/>
    <w:rsid w:val="00BF0DAC"/>
    <w:rsid w:val="00BF18C8"/>
    <w:rsid w:val="00BF7E8C"/>
    <w:rsid w:val="00C03401"/>
    <w:rsid w:val="00C0680B"/>
    <w:rsid w:val="00C1236E"/>
    <w:rsid w:val="00C1239D"/>
    <w:rsid w:val="00C22395"/>
    <w:rsid w:val="00C41B18"/>
    <w:rsid w:val="00C4388D"/>
    <w:rsid w:val="00C50637"/>
    <w:rsid w:val="00C50D02"/>
    <w:rsid w:val="00C54E00"/>
    <w:rsid w:val="00C56C4D"/>
    <w:rsid w:val="00C64637"/>
    <w:rsid w:val="00C67041"/>
    <w:rsid w:val="00C72BAF"/>
    <w:rsid w:val="00C75C6A"/>
    <w:rsid w:val="00C77386"/>
    <w:rsid w:val="00C85372"/>
    <w:rsid w:val="00C8778B"/>
    <w:rsid w:val="00C95F03"/>
    <w:rsid w:val="00CA7B24"/>
    <w:rsid w:val="00CB0354"/>
    <w:rsid w:val="00CB393E"/>
    <w:rsid w:val="00CC0DC9"/>
    <w:rsid w:val="00CC64EF"/>
    <w:rsid w:val="00CE62D1"/>
    <w:rsid w:val="00CF1CAD"/>
    <w:rsid w:val="00CF334C"/>
    <w:rsid w:val="00D00F0F"/>
    <w:rsid w:val="00D02E34"/>
    <w:rsid w:val="00D04EF6"/>
    <w:rsid w:val="00D14555"/>
    <w:rsid w:val="00D32313"/>
    <w:rsid w:val="00D343E1"/>
    <w:rsid w:val="00D37FE0"/>
    <w:rsid w:val="00D41D45"/>
    <w:rsid w:val="00D45BB5"/>
    <w:rsid w:val="00D46303"/>
    <w:rsid w:val="00D50237"/>
    <w:rsid w:val="00D5189D"/>
    <w:rsid w:val="00D55BF6"/>
    <w:rsid w:val="00D705C0"/>
    <w:rsid w:val="00D821EF"/>
    <w:rsid w:val="00D90496"/>
    <w:rsid w:val="00D94111"/>
    <w:rsid w:val="00DA5446"/>
    <w:rsid w:val="00DB0F27"/>
    <w:rsid w:val="00DB155D"/>
    <w:rsid w:val="00DB7A65"/>
    <w:rsid w:val="00DC2C71"/>
    <w:rsid w:val="00DD3F12"/>
    <w:rsid w:val="00DE1D0A"/>
    <w:rsid w:val="00DE200E"/>
    <w:rsid w:val="00DE3F67"/>
    <w:rsid w:val="00DF4608"/>
    <w:rsid w:val="00DF7200"/>
    <w:rsid w:val="00E01AB7"/>
    <w:rsid w:val="00E01D4D"/>
    <w:rsid w:val="00E05F9C"/>
    <w:rsid w:val="00E243DF"/>
    <w:rsid w:val="00E25080"/>
    <w:rsid w:val="00E42D3F"/>
    <w:rsid w:val="00E46707"/>
    <w:rsid w:val="00E50649"/>
    <w:rsid w:val="00E605AE"/>
    <w:rsid w:val="00E6224E"/>
    <w:rsid w:val="00E675BD"/>
    <w:rsid w:val="00E70F36"/>
    <w:rsid w:val="00E755B1"/>
    <w:rsid w:val="00E813B1"/>
    <w:rsid w:val="00E85CD5"/>
    <w:rsid w:val="00E94208"/>
    <w:rsid w:val="00EB2DE6"/>
    <w:rsid w:val="00ED011F"/>
    <w:rsid w:val="00ED2884"/>
    <w:rsid w:val="00EE1C1A"/>
    <w:rsid w:val="00EE2BF4"/>
    <w:rsid w:val="00EF7140"/>
    <w:rsid w:val="00F01BE3"/>
    <w:rsid w:val="00F13D02"/>
    <w:rsid w:val="00F31075"/>
    <w:rsid w:val="00F365D5"/>
    <w:rsid w:val="00F36F8D"/>
    <w:rsid w:val="00F42643"/>
    <w:rsid w:val="00F471E2"/>
    <w:rsid w:val="00F550D4"/>
    <w:rsid w:val="00F702F3"/>
    <w:rsid w:val="00F70B45"/>
    <w:rsid w:val="00F83752"/>
    <w:rsid w:val="00F8788B"/>
    <w:rsid w:val="00F93A2E"/>
    <w:rsid w:val="00FB0819"/>
    <w:rsid w:val="00FB18D2"/>
    <w:rsid w:val="00FB3CA4"/>
    <w:rsid w:val="00FB47B7"/>
    <w:rsid w:val="00FB7F68"/>
    <w:rsid w:val="00FC038A"/>
    <w:rsid w:val="00FC3EA1"/>
    <w:rsid w:val="00FC6ED9"/>
    <w:rsid w:val="00FD0F63"/>
    <w:rsid w:val="00FD4E8B"/>
    <w:rsid w:val="00FE3942"/>
    <w:rsid w:val="00FE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B4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0B4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3">
    <w:name w:val="Знак Знак"/>
    <w:basedOn w:val="a"/>
    <w:uiPriority w:val="99"/>
    <w:rsid w:val="00A55A72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80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B4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0B4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3">
    <w:name w:val="Знак Знак"/>
    <w:basedOn w:val="a"/>
    <w:uiPriority w:val="99"/>
    <w:rsid w:val="00A55A72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805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CA60EC70A5D2E005E3E478974F3AFE3BE24213A0029A55D4C1E87A37FEA481B3P3y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Пользоваттель</dc:creator>
  <cp:lastModifiedBy>Admin</cp:lastModifiedBy>
  <cp:revision>6</cp:revision>
  <cp:lastPrinted>2023-01-31T10:06:00Z</cp:lastPrinted>
  <dcterms:created xsi:type="dcterms:W3CDTF">2023-01-06T11:14:00Z</dcterms:created>
  <dcterms:modified xsi:type="dcterms:W3CDTF">2023-01-31T10:08:00Z</dcterms:modified>
</cp:coreProperties>
</file>