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E8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КИПСКОГО СЕЛЬСКОГО ПОСЕЛЕНИЯ</w:t>
      </w: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FBE" w:rsidRDefault="00047FBE" w:rsidP="00047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2E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от «</w:t>
      </w:r>
      <w:r w:rsidR="00332E9E">
        <w:rPr>
          <w:rFonts w:ascii="Times New Roman" w:hAnsi="Times New Roman" w:cs="Times New Roman"/>
          <w:sz w:val="24"/>
          <w:szCs w:val="24"/>
        </w:rPr>
        <w:t xml:space="preserve"> 05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32E9E"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 xml:space="preserve"> 2021                                                                              № </w:t>
      </w:r>
      <w:r w:rsidR="00332E9E">
        <w:rPr>
          <w:rFonts w:ascii="Times New Roman" w:hAnsi="Times New Roman" w:cs="Times New Roman"/>
          <w:sz w:val="24"/>
          <w:szCs w:val="24"/>
        </w:rPr>
        <w:t>7-п</w:t>
      </w:r>
    </w:p>
    <w:p w:rsidR="00047FBE" w:rsidRDefault="00047FBE" w:rsidP="00047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FBE" w:rsidRDefault="00047FBE" w:rsidP="00047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целевой программы «Пожарная безопасность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на 2021-2025 гг.».</w:t>
      </w: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FBE" w:rsidRDefault="00047FBE" w:rsidP="00047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FBE" w:rsidRDefault="00047FBE" w:rsidP="00047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47FBE" w:rsidRPr="00210412" w:rsidRDefault="00047FBE" w:rsidP="0021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pStyle w:val="a3"/>
        <w:spacing w:before="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412">
        <w:rPr>
          <w:rFonts w:ascii="Times New Roman" w:hAnsi="Times New Roman"/>
          <w:sz w:val="24"/>
          <w:szCs w:val="24"/>
        </w:rPr>
        <w:t>В соответствии с Федеральным законом от 21.12.1994 года № 69-ФЗ «О пожарной безопасности», Федеральным законом от 06.10.2003 года № 131</w:t>
      </w:r>
      <w:bookmarkStart w:id="0" w:name="_GoBack"/>
      <w:bookmarkEnd w:id="0"/>
      <w:r w:rsidRPr="00210412">
        <w:rPr>
          <w:rFonts w:ascii="Times New Roman" w:hAnsi="Times New Roman"/>
          <w:sz w:val="24"/>
          <w:szCs w:val="24"/>
        </w:rPr>
        <w:t xml:space="preserve">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/>
          <w:sz w:val="24"/>
          <w:szCs w:val="24"/>
        </w:rPr>
        <w:t>Кипского</w:t>
      </w:r>
      <w:proofErr w:type="spellEnd"/>
      <w:r w:rsidRPr="0021041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210412">
        <w:rPr>
          <w:rFonts w:ascii="Times New Roman" w:hAnsi="Times New Roman"/>
          <w:sz w:val="24"/>
          <w:szCs w:val="24"/>
        </w:rPr>
        <w:t xml:space="preserve"> муниципального района Омской области</w:t>
      </w:r>
    </w:p>
    <w:p w:rsidR="00210412" w:rsidRPr="00210412" w:rsidRDefault="00210412" w:rsidP="0021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10412" w:rsidRPr="00210412" w:rsidRDefault="00210412" w:rsidP="0021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412" w:rsidRDefault="00210412" w:rsidP="00210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Утвердить муниципальную целевую программу </w:t>
      </w:r>
      <w:r w:rsidRPr="002104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«Пожарная безопасность на территории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Кипского</w:t>
      </w:r>
      <w:proofErr w:type="spellEnd"/>
      <w:r w:rsidRPr="002104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25CD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Тевризского</w:t>
      </w:r>
      <w:proofErr w:type="spellEnd"/>
      <w:r w:rsidRPr="002104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муниципального района Омской области»  на 20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21  год и плановый период 2022 и 2023</w:t>
      </w:r>
      <w:r w:rsidRPr="002104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годов».</w:t>
      </w:r>
    </w:p>
    <w:p w:rsidR="00210412" w:rsidRPr="00210412" w:rsidRDefault="00210412" w:rsidP="00210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210412" w:rsidRDefault="00210412" w:rsidP="0021041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sz w:val="24"/>
          <w:szCs w:val="24"/>
        </w:rPr>
        <w:t>печатном средстве массовой информации</w:t>
      </w:r>
      <w:r w:rsidRPr="0021041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Официальный 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разместить </w:t>
      </w:r>
      <w:r w:rsidRPr="00210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 в сети </w:t>
      </w:r>
      <w:r w:rsidRPr="00210412">
        <w:rPr>
          <w:rFonts w:ascii="Times New Roman" w:hAnsi="Times New Roman" w:cs="Times New Roman"/>
          <w:sz w:val="24"/>
          <w:szCs w:val="24"/>
        </w:rPr>
        <w:t xml:space="preserve"> «Интернет».</w:t>
      </w:r>
      <w:r w:rsidRPr="0021041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B95430" w:rsidRPr="00210412" w:rsidRDefault="00B95430" w:rsidP="0021041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0412" w:rsidRPr="00210412" w:rsidRDefault="00210412" w:rsidP="0021041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04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proofErr w:type="gramStart"/>
      <w:r w:rsidRPr="00210412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2104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210412" w:rsidRDefault="00210412" w:rsidP="002104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7758" w:rsidRDefault="00A77758" w:rsidP="002104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7758" w:rsidRPr="00210412" w:rsidRDefault="00A77758" w:rsidP="002104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412" w:rsidRDefault="00210412" w:rsidP="0021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10412" w:rsidRDefault="00210412" w:rsidP="0021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210412" w:rsidRPr="00DE65DB" w:rsidRDefault="00210412" w:rsidP="00210412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Н.Ш.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210412" w:rsidRDefault="00210412" w:rsidP="00210412">
      <w:pPr>
        <w:spacing w:before="240"/>
        <w:rPr>
          <w:sz w:val="28"/>
          <w:szCs w:val="28"/>
        </w:rPr>
      </w:pPr>
    </w:p>
    <w:p w:rsidR="00210412" w:rsidRDefault="00210412" w:rsidP="00210412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10412" w:rsidRDefault="00210412" w:rsidP="00210412">
      <w:pPr>
        <w:tabs>
          <w:tab w:val="left" w:pos="7035"/>
        </w:tabs>
        <w:rPr>
          <w:sz w:val="28"/>
          <w:szCs w:val="28"/>
        </w:rPr>
      </w:pPr>
    </w:p>
    <w:p w:rsidR="00210412" w:rsidRPr="00210412" w:rsidRDefault="00210412" w:rsidP="00210412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tabs>
          <w:tab w:val="left" w:pos="6000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</w:p>
    <w:p w:rsidR="00210412" w:rsidRPr="00210412" w:rsidRDefault="00210412" w:rsidP="00210412">
      <w:pPr>
        <w:spacing w:after="0" w:line="240" w:lineRule="auto"/>
        <w:ind w:firstLine="5387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210412" w:rsidRPr="00210412" w:rsidRDefault="00210412" w:rsidP="00210412">
      <w:pPr>
        <w:spacing w:after="0" w:line="240" w:lineRule="auto"/>
        <w:ind w:left="5664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Кипского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104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</w:p>
    <w:p w:rsidR="00210412" w:rsidRPr="00210412" w:rsidRDefault="00210412" w:rsidP="00210412">
      <w:pPr>
        <w:spacing w:after="0" w:line="240" w:lineRule="auto"/>
        <w:ind w:firstLine="5387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Тевризского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104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 </w:t>
      </w:r>
    </w:p>
    <w:p w:rsidR="00210412" w:rsidRPr="00210412" w:rsidRDefault="00210412" w:rsidP="00210412">
      <w:pPr>
        <w:spacing w:after="0" w:line="240" w:lineRule="auto"/>
        <w:ind w:firstLine="5387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</w:t>
      </w:r>
      <w:r w:rsidRPr="002104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Омской области </w:t>
      </w:r>
    </w:p>
    <w:p w:rsidR="00210412" w:rsidRPr="00210412" w:rsidRDefault="00210412" w:rsidP="00210412">
      <w:pPr>
        <w:spacing w:after="0" w:line="240" w:lineRule="auto"/>
        <w:ind w:firstLine="5387"/>
        <w:contextualSpacing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</w:t>
      </w:r>
      <w:r w:rsidRPr="002104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r w:rsidR="00332E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05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</w:t>
      </w:r>
      <w:r w:rsidR="00332E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февраля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2021 </w:t>
      </w:r>
      <w:r w:rsidRPr="002104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332E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7-п</w:t>
      </w:r>
    </w:p>
    <w:p w:rsidR="00210412" w:rsidRPr="00210412" w:rsidRDefault="00210412" w:rsidP="0021041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МУНИЦИПАЛЬНАЯ ЦЕЛЕВАЯ ПРОГРАММА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«Пожарная безопасность на территории </w:t>
      </w:r>
    </w:p>
    <w:p w:rsid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Кипского</w:t>
      </w:r>
      <w:proofErr w:type="spellEnd"/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Тевризского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 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Омской области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21  год и на плановый период 2022 и 2023</w:t>
      </w: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годов»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Паспорт 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программы  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«Пожарная безопасность на территории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Кипского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Тевризского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района Омской области </w:t>
      </w:r>
    </w:p>
    <w:p w:rsid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21</w:t>
      </w: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 и на плановый период 2022 и 2023</w:t>
      </w: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годов»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36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«Пожарная безопасность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Кипского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Тевризского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 </w:t>
            </w: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Омской области» 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210412" w:rsidRPr="00210412" w:rsidRDefault="00210412" w:rsidP="00AC7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C731E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AC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C731E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="00AC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36" w:type="dxa"/>
          </w:tcPr>
          <w:p w:rsidR="00210412" w:rsidRPr="00210412" w:rsidRDefault="00210412" w:rsidP="00AC7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</w:t>
            </w:r>
            <w:proofErr w:type="spellStart"/>
            <w:r w:rsidR="00AC731E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C731E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="00AC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Омской области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210412" w:rsidRPr="00210412" w:rsidRDefault="00210412" w:rsidP="00AC7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C731E">
              <w:rPr>
                <w:rFonts w:ascii="Times New Roman" w:hAnsi="Times New Roman" w:cs="Times New Roman"/>
                <w:sz w:val="24"/>
                <w:szCs w:val="24"/>
              </w:rPr>
              <w:t>21 год и плановый период 2022 и 2023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отивопожарной защиты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36" w:type="dxa"/>
          </w:tcPr>
          <w:p w:rsidR="00210412" w:rsidRPr="00210412" w:rsidRDefault="00210412" w:rsidP="00AC7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C731E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C731E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="00AC7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 Омской области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="00AC731E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AC731E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Мероприятия Программы и объемы их финансирования подлежат ежегодной корректировке:</w:t>
            </w:r>
          </w:p>
          <w:p w:rsidR="00210412" w:rsidRPr="00332E9E" w:rsidRDefault="00AC731E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9E">
              <w:rPr>
                <w:rFonts w:ascii="Times New Roman" w:hAnsi="Times New Roman" w:cs="Times New Roman"/>
                <w:sz w:val="24"/>
                <w:szCs w:val="24"/>
              </w:rPr>
              <w:t xml:space="preserve">- 2021 </w:t>
            </w:r>
            <w:r w:rsidR="00210412" w:rsidRPr="00332E9E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B95430" w:rsidRPr="00332E9E">
              <w:rPr>
                <w:rFonts w:ascii="Times New Roman" w:hAnsi="Times New Roman" w:cs="Times New Roman"/>
                <w:sz w:val="24"/>
                <w:szCs w:val="24"/>
              </w:rPr>
              <w:t>68000,00</w:t>
            </w:r>
            <w:r w:rsidR="00210412" w:rsidRPr="00332E9E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210412" w:rsidRPr="00332E9E" w:rsidRDefault="00AC731E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9E">
              <w:rPr>
                <w:rFonts w:ascii="Times New Roman" w:hAnsi="Times New Roman" w:cs="Times New Roman"/>
                <w:sz w:val="24"/>
                <w:szCs w:val="24"/>
              </w:rPr>
              <w:t xml:space="preserve">- 2022 </w:t>
            </w:r>
            <w:r w:rsidR="00210412" w:rsidRPr="00332E9E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B95430" w:rsidRPr="00332E9E">
              <w:rPr>
                <w:rFonts w:ascii="Times New Roman" w:hAnsi="Times New Roman" w:cs="Times New Roman"/>
                <w:sz w:val="24"/>
                <w:szCs w:val="24"/>
              </w:rPr>
              <w:t>68000</w:t>
            </w:r>
            <w:r w:rsidR="00210412" w:rsidRPr="00332E9E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:rsidR="00210412" w:rsidRPr="00210412" w:rsidRDefault="00210412" w:rsidP="00B95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9E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AC731E" w:rsidRPr="00332E9E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332E9E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B95430" w:rsidRPr="00332E9E">
              <w:rPr>
                <w:rFonts w:ascii="Times New Roman" w:hAnsi="Times New Roman" w:cs="Times New Roman"/>
                <w:sz w:val="24"/>
                <w:szCs w:val="24"/>
              </w:rPr>
              <w:t>68000</w:t>
            </w:r>
            <w:r w:rsidRPr="00332E9E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210412" w:rsidRPr="00210412" w:rsidRDefault="00210412" w:rsidP="00210412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укрепление пожарной безопасности территории </w:t>
            </w:r>
            <w:proofErr w:type="spellStart"/>
            <w:r w:rsidR="00E40F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Кипского</w:t>
            </w:r>
            <w:proofErr w:type="spellEnd"/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 w:rsidR="00E40F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Тевризского</w:t>
            </w:r>
            <w:proofErr w:type="spellEnd"/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муниципального района Омской области снижение количества пожаров, гибели и </w:t>
            </w:r>
            <w:proofErr w:type="spellStart"/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травмирования</w:t>
            </w:r>
            <w:proofErr w:type="spellEnd"/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210412" w:rsidRPr="00210412" w:rsidTr="00E55FA3">
        <w:tc>
          <w:tcPr>
            <w:tcW w:w="3244" w:type="dxa"/>
          </w:tcPr>
          <w:p w:rsidR="00210412" w:rsidRPr="00210412" w:rsidRDefault="00210412" w:rsidP="0021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5936" w:type="dxa"/>
          </w:tcPr>
          <w:p w:rsidR="00210412" w:rsidRPr="00210412" w:rsidRDefault="00210412" w:rsidP="00E40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глава администрации </w:t>
            </w:r>
            <w:proofErr w:type="spellStart"/>
            <w:r w:rsidR="00E40F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="00E4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E40F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2104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</w:tbl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1. Общие положения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Муниципальная целевая программа «Пожарная безопасность на территории </w:t>
      </w:r>
      <w:proofErr w:type="spellStart"/>
      <w:r w:rsidR="00E40F01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="00E40F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</w:t>
      </w:r>
      <w:proofErr w:type="spellStart"/>
      <w:r w:rsidR="00E40F01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="00E40F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района Омской области» </w:t>
      </w:r>
      <w:r w:rsidR="00E40F01">
        <w:rPr>
          <w:rFonts w:ascii="Times New Roman" w:eastAsia="Calibri" w:hAnsi="Times New Roman" w:cs="Times New Roman"/>
          <w:sz w:val="24"/>
          <w:szCs w:val="24"/>
          <w:lang w:eastAsia="en-US"/>
        </w:rPr>
        <w:t>на 2021 год и на плановый период 2022 и 2023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годов» (далее - Программа) определяет </w:t>
      </w:r>
      <w:proofErr w:type="gramStart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направления</w:t>
      </w:r>
      <w:proofErr w:type="gram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механизмы реализации полномочий по обеспечению первичных мер пожарной безопасности на территории </w:t>
      </w:r>
      <w:proofErr w:type="spellStart"/>
      <w:r w:rsidR="00E40F01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="00E40F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</w:t>
      </w:r>
      <w:proofErr w:type="spellStart"/>
      <w:r w:rsidR="00E40F01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области, усиления противопожарной защиты населения и материальных ценностей.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Федеральным </w:t>
      </w:r>
      <w:hyperlink r:id="rId4" w:history="1">
        <w:r w:rsidRPr="002104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2104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2003 г</w:t>
        </w:r>
      </w:smartTag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. № 131-ФЗ «Об общих принципах организации местного самоуправления в Российской Федерации»;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Федеральным </w:t>
      </w:r>
      <w:hyperlink r:id="rId5" w:history="1">
        <w:r w:rsidRPr="002104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2104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1994 г</w:t>
        </w:r>
      </w:smartTag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. № 69-ФЗ «О пожарной безопасности»;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- Федеральным законом от 22 июля 2008г. № 123-ФЗ «Технический регламент о требованиях пожарной безопасности»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Содержание проблемы и обоснование необходимости ее</w:t>
      </w:r>
    </w:p>
    <w:p w:rsidR="00210412" w:rsidRPr="00210412" w:rsidRDefault="00210412" w:rsidP="002104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решения программными методами</w:t>
      </w:r>
    </w:p>
    <w:p w:rsidR="00210412" w:rsidRPr="00210412" w:rsidRDefault="00210412" w:rsidP="0021041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="00E40F01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21041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40F0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21041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 ведется определенная работа по предупреждению пожаров: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210412" w:rsidRPr="00210412" w:rsidRDefault="00210412" w:rsidP="00210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-при проведении плановых проверок жилищного фонда особое внимание уделяется ветхому жилью, жилью</w:t>
      </w:r>
      <w:r w:rsidRPr="0021041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социально неадаптированных граждан.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41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210412">
          <w:rPr>
            <w:rFonts w:ascii="Times New Roman" w:hAnsi="Times New Roman" w:cs="Times New Roman"/>
            <w:color w:val="000000"/>
            <w:sz w:val="24"/>
            <w:szCs w:val="24"/>
          </w:rPr>
          <w:t>1994 г</w:t>
        </w:r>
      </w:smartTag>
      <w:r w:rsidRPr="00210412">
        <w:rPr>
          <w:rFonts w:ascii="Times New Roman" w:hAnsi="Times New Roman" w:cs="Times New Roman"/>
          <w:color w:val="000000"/>
          <w:sz w:val="24"/>
          <w:szCs w:val="24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lastRenderedPageBreak/>
        <w:t>4) разработку плана привлечения сил и сре</w:t>
      </w:r>
      <w:proofErr w:type="gramStart"/>
      <w:r w:rsidRPr="00210412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210412">
        <w:rPr>
          <w:rFonts w:ascii="Times New Roman" w:hAnsi="Times New Roman" w:cs="Times New Roman"/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7)  обеспечение связи и оповещения населения о пожаре;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412">
        <w:rPr>
          <w:rFonts w:ascii="Times New Roman" w:hAnsi="Times New Roman" w:cs="Times New Roman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210412" w:rsidRPr="00210412" w:rsidRDefault="00210412" w:rsidP="002104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412">
        <w:rPr>
          <w:rFonts w:ascii="Times New Roman" w:hAnsi="Times New Roman" w:cs="Times New Roman"/>
          <w:color w:val="000000"/>
          <w:sz w:val="24"/>
          <w:szCs w:val="24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412">
        <w:rPr>
          <w:rFonts w:ascii="Times New Roman" w:hAnsi="Times New Roman" w:cs="Times New Roman"/>
          <w:color w:val="000000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210412" w:rsidRPr="00210412" w:rsidRDefault="00210412" w:rsidP="0021041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Default="00210412" w:rsidP="00D3635F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Основные цели и задачи реализации Программы</w:t>
      </w:r>
    </w:p>
    <w:p w:rsidR="00D3635F" w:rsidRPr="00D3635F" w:rsidRDefault="00D3635F" w:rsidP="00D3635F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 Основной целью Программы является усиление системы противопожарной защиты </w:t>
      </w:r>
      <w:proofErr w:type="spellStart"/>
      <w:r w:rsidR="00EC455C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EC455C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области, создание необходимых условий для укрепления пожарной безопасности,  уменьшение материального ущерба от пожаров.</w:t>
      </w:r>
    </w:p>
    <w:p w:rsidR="00210412" w:rsidRPr="00210412" w:rsidRDefault="00210412" w:rsidP="0021041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3.2. Для ее достижения необходимо решение следующих основных задач: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3.2.2. Повышение готовности добровольной пожарной дружины к тушению пожаров; 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3.2.3. Реализация первоочередных мер по противопожарной защите жилья,  учреждений, культуры, иных объектов массового нахождения людей;</w:t>
      </w:r>
    </w:p>
    <w:p w:rsidR="00210412" w:rsidRPr="00210412" w:rsidRDefault="00210412" w:rsidP="002104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3.3.Период </w:t>
      </w:r>
      <w:r w:rsidR="00EC455C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действия Программы - 3 года (2021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EC455C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гг.).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3.4. Предусмотренные в Программе мероприятия </w:t>
      </w:r>
      <w:proofErr w:type="gramStart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1) 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proofErr w:type="spellStart"/>
      <w:r w:rsidR="00EC455C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EC455C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Ресурсное обеспечение Программы</w:t>
      </w:r>
    </w:p>
    <w:p w:rsidR="00210412" w:rsidRPr="00210412" w:rsidRDefault="00210412" w:rsidP="00210412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4.1. Программа реализуется за счет средств местного бюджета.</w:t>
      </w:r>
    </w:p>
    <w:p w:rsidR="00210412" w:rsidRPr="00210412" w:rsidRDefault="00210412" w:rsidP="0021041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4.2. Объем средств может ежегодно уточняться в установленном порядке.</w:t>
      </w:r>
    </w:p>
    <w:p w:rsidR="00210412" w:rsidRPr="00210412" w:rsidRDefault="00210412" w:rsidP="0021041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5. Организация управления Программой и </w:t>
      </w:r>
      <w:proofErr w:type="gramStart"/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 за</w:t>
      </w:r>
      <w:proofErr w:type="gramEnd"/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ходом ее реализации</w:t>
      </w:r>
    </w:p>
    <w:p w:rsidR="00210412" w:rsidRPr="00210412" w:rsidRDefault="00210412" w:rsidP="00210412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5.1. Администрация </w:t>
      </w:r>
      <w:proofErr w:type="spellStart"/>
      <w:r w:rsidR="001C65A3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1C65A3">
        <w:rPr>
          <w:rFonts w:ascii="Times New Roman" w:eastAsia="Calibri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5.2. Общий </w:t>
      </w:r>
      <w:proofErr w:type="gramStart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реализацией Программы и контроль текущих мероприятий Программы осуществляет глава  администрации </w:t>
      </w:r>
      <w:proofErr w:type="spellStart"/>
      <w:r w:rsidR="001C65A3">
        <w:rPr>
          <w:rFonts w:ascii="Times New Roman" w:eastAsia="Calibri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Омского муниципального района Омской области.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Оценка эффективности последствий реализации Программы</w:t>
      </w:r>
    </w:p>
    <w:p w:rsidR="00210412" w:rsidRPr="00210412" w:rsidRDefault="00210412" w:rsidP="00210412">
      <w:pPr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6.1. В результате выполнения намеченных мероприятий Программы предполагается: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1) обеспечить сокращение общего количества пожаров и материальных потерь от них;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>2)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21041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0412" w:rsidRPr="00210412" w:rsidRDefault="00210412" w:rsidP="00E40F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210412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412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муниципальной  Программы 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412">
        <w:rPr>
          <w:rFonts w:ascii="Times New Roman" w:hAnsi="Times New Roman" w:cs="Times New Roman"/>
          <w:b/>
          <w:bCs/>
          <w:sz w:val="24"/>
          <w:szCs w:val="24"/>
        </w:rPr>
        <w:t xml:space="preserve">«По вопросам обеспечения пожарной безопасности </w:t>
      </w: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412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proofErr w:type="spellStart"/>
      <w:r w:rsidR="001C65A3">
        <w:rPr>
          <w:rFonts w:ascii="Times New Roman" w:hAnsi="Times New Roman" w:cs="Times New Roman"/>
          <w:b/>
          <w:bCs/>
          <w:sz w:val="24"/>
          <w:szCs w:val="24"/>
        </w:rPr>
        <w:t>Кипского</w:t>
      </w:r>
      <w:proofErr w:type="spellEnd"/>
      <w:r w:rsidRPr="0021041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="001C65A3">
        <w:rPr>
          <w:rFonts w:ascii="Times New Roman" w:hAnsi="Times New Roman" w:cs="Times New Roman"/>
          <w:b/>
          <w:bCs/>
          <w:sz w:val="24"/>
          <w:szCs w:val="24"/>
        </w:rPr>
        <w:t>Тевризского</w:t>
      </w:r>
      <w:proofErr w:type="spellEnd"/>
      <w:r w:rsidRPr="0021041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Омской области</w:t>
      </w:r>
      <w:r w:rsidR="001C65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0412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1C65A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1041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1C65A3"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 2022 и 2023</w:t>
      </w:r>
      <w:r w:rsidRPr="00210412">
        <w:rPr>
          <w:rFonts w:ascii="Times New Roman" w:hAnsi="Times New Roman" w:cs="Times New Roman"/>
          <w:b/>
          <w:bCs/>
          <w:sz w:val="24"/>
          <w:szCs w:val="24"/>
        </w:rPr>
        <w:t xml:space="preserve"> годов»</w:t>
      </w:r>
    </w:p>
    <w:p w:rsidR="00210412" w:rsidRPr="001C65A3" w:rsidRDefault="00210412" w:rsidP="00210412">
      <w:pPr>
        <w:tabs>
          <w:tab w:val="left" w:pos="141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65A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tbl>
      <w:tblPr>
        <w:tblW w:w="1015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3"/>
        <w:gridCol w:w="1896"/>
        <w:gridCol w:w="1432"/>
        <w:gridCol w:w="992"/>
        <w:gridCol w:w="850"/>
        <w:gridCol w:w="709"/>
        <w:gridCol w:w="851"/>
        <w:gridCol w:w="1426"/>
        <w:gridCol w:w="1521"/>
      </w:tblGrid>
      <w:tr w:rsidR="00210412" w:rsidRPr="00210412" w:rsidTr="00A9007F">
        <w:trPr>
          <w:trHeight w:hRule="exact" w:val="647"/>
          <w:tblHeader/>
        </w:trPr>
        <w:tc>
          <w:tcPr>
            <w:tcW w:w="473" w:type="dxa"/>
            <w:vMerge w:val="restart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/</w:t>
            </w:r>
            <w:proofErr w:type="spellStart"/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п</w:t>
            </w:r>
            <w:proofErr w:type="spellEnd"/>
          </w:p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vMerge w:val="restart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Мероприятия</w:t>
            </w:r>
          </w:p>
          <w:p w:rsidR="00210412" w:rsidRPr="00210412" w:rsidRDefault="00210412" w:rsidP="00210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0412" w:rsidRPr="00210412" w:rsidRDefault="00210412" w:rsidP="002104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vMerge w:val="restart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Источник </w:t>
            </w: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финансир</w:t>
            </w: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ования</w:t>
            </w:r>
          </w:p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Объем финансирования (тыс. </w:t>
            </w:r>
            <w:r w:rsidRPr="0021041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руб.),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Срок </w:t>
            </w:r>
            <w:r w:rsidRPr="0021041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en-US"/>
              </w:rPr>
              <w:t>исполнения</w:t>
            </w:r>
          </w:p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28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210412" w:rsidRPr="00210412" w:rsidTr="00A9007F">
        <w:trPr>
          <w:trHeight w:hRule="exact" w:val="326"/>
          <w:tblHeader/>
        </w:trPr>
        <w:tc>
          <w:tcPr>
            <w:tcW w:w="473" w:type="dxa"/>
            <w:vMerge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6" w:type="dxa"/>
            <w:vMerge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2" w:type="dxa"/>
            <w:vMerge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20</w:t>
            </w:r>
            <w:r w:rsidR="001C65A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202</w:t>
            </w:r>
            <w:r w:rsidR="001C65A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202</w:t>
            </w:r>
            <w:r w:rsidR="001C65A3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412" w:rsidRPr="00210412" w:rsidTr="00A9007F">
        <w:trPr>
          <w:trHeight w:hRule="exact" w:val="1180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Организационное обеспечение реализации</w:t>
            </w:r>
          </w:p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Программы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0412" w:rsidRPr="00210412" w:rsidTr="00A9007F">
        <w:trPr>
          <w:trHeight w:hRule="exact" w:val="3143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Разработка и утверждение комплекса мероприятий по </w:t>
            </w:r>
            <w:r w:rsidRPr="00210412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en-US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3 квартал текущего года     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3965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27" w:hanging="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Ежегодно 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3115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210412" w:rsidRPr="00210412" w:rsidRDefault="00210412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(март-апрель)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2305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889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Мероприятия по тушению пожаров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9F0D61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14</w:t>
            </w:r>
            <w:r w:rsidR="00BF786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9F0D61" w:rsidP="00210412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48</w:t>
            </w:r>
            <w:r w:rsidR="00BF786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9F0D61" w:rsidP="00210412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4</w:t>
            </w:r>
            <w:r w:rsidR="00BF786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8000</w:t>
            </w:r>
            <w:r w:rsidR="00210412" w:rsidRPr="0021041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0</w:t>
            </w:r>
          </w:p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10412" w:rsidRPr="00210412" w:rsidRDefault="009F0D61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4</w:t>
            </w:r>
            <w:r w:rsidR="00BF786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BF7862" w:rsidRPr="00210412" w:rsidTr="00A9007F">
        <w:trPr>
          <w:trHeight w:hRule="exact" w:val="1939"/>
        </w:trPr>
        <w:tc>
          <w:tcPr>
            <w:tcW w:w="473" w:type="dxa"/>
            <w:shd w:val="clear" w:color="auto" w:fill="FFFFFF"/>
          </w:tcPr>
          <w:p w:rsidR="00BF7862" w:rsidRPr="00210412" w:rsidRDefault="00BF786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896" w:type="dxa"/>
            <w:shd w:val="clear" w:color="auto" w:fill="FFFFFF"/>
          </w:tcPr>
          <w:p w:rsidR="00BF7862" w:rsidRPr="00210412" w:rsidRDefault="00BF786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Выполнение минерализованных полос вокруг населенных пунктов 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Кипского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432" w:type="dxa"/>
            <w:shd w:val="clear" w:color="auto" w:fill="FFFFFF"/>
          </w:tcPr>
          <w:p w:rsidR="00BF7862" w:rsidRPr="00210412" w:rsidRDefault="00BF786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850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709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851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426" w:type="dxa"/>
            <w:shd w:val="clear" w:color="auto" w:fill="FFFFFF"/>
          </w:tcPr>
          <w:p w:rsidR="00BF7862" w:rsidRPr="00210412" w:rsidRDefault="00BF786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Весна, осень</w:t>
            </w:r>
          </w:p>
        </w:tc>
        <w:tc>
          <w:tcPr>
            <w:tcW w:w="1521" w:type="dxa"/>
            <w:shd w:val="clear" w:color="auto" w:fill="FFFFFF"/>
          </w:tcPr>
          <w:p w:rsidR="00BF7862" w:rsidRPr="00210412" w:rsidRDefault="00BF786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BF7862" w:rsidRPr="00210412" w:rsidTr="00A9007F">
        <w:trPr>
          <w:trHeight w:hRule="exact" w:val="704"/>
        </w:trPr>
        <w:tc>
          <w:tcPr>
            <w:tcW w:w="473" w:type="dxa"/>
            <w:shd w:val="clear" w:color="auto" w:fill="FFFFFF"/>
          </w:tcPr>
          <w:p w:rsidR="00BF7862" w:rsidRPr="00210412" w:rsidRDefault="00BF786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896" w:type="dxa"/>
            <w:shd w:val="clear" w:color="auto" w:fill="FFFFFF"/>
          </w:tcPr>
          <w:p w:rsidR="00BF7862" w:rsidRPr="00210412" w:rsidRDefault="009F0D61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Убор сухой растительности</w:t>
            </w:r>
          </w:p>
        </w:tc>
        <w:tc>
          <w:tcPr>
            <w:tcW w:w="1432" w:type="dxa"/>
            <w:shd w:val="clear" w:color="auto" w:fill="FFFFFF"/>
          </w:tcPr>
          <w:p w:rsidR="00BF7862" w:rsidRPr="00210412" w:rsidRDefault="009F0D61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850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709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851" w:type="dxa"/>
            <w:shd w:val="clear" w:color="auto" w:fill="FFFFFF"/>
          </w:tcPr>
          <w:p w:rsidR="00BF7862" w:rsidRDefault="009F0D61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1426" w:type="dxa"/>
            <w:shd w:val="clear" w:color="auto" w:fill="FFFFFF"/>
          </w:tcPr>
          <w:p w:rsidR="009F0D61" w:rsidRDefault="009F0D61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Весна,</w:t>
            </w:r>
          </w:p>
          <w:p w:rsidR="00BF7862" w:rsidRPr="00210412" w:rsidRDefault="009F0D61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осень</w:t>
            </w:r>
          </w:p>
        </w:tc>
        <w:tc>
          <w:tcPr>
            <w:tcW w:w="1521" w:type="dxa"/>
            <w:shd w:val="clear" w:color="auto" w:fill="FFFFFF"/>
          </w:tcPr>
          <w:p w:rsidR="00BF7862" w:rsidRPr="00210412" w:rsidRDefault="009F0D61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1130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proofErr w:type="gramStart"/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 состоянием пожарных водоемов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МО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1851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Проверка  пожар</w:t>
            </w:r>
            <w:r w:rsidR="00AC731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н</w:t>
            </w: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о</w:t>
            </w:r>
            <w:r w:rsidR="00AC731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й </w:t>
            </w: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 xml:space="preserve">безопасности помещений, зданий жилого сектора.  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2121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3681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2872"/>
        </w:trPr>
        <w:tc>
          <w:tcPr>
            <w:tcW w:w="473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896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432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992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соответствии с утвержденным графиком</w:t>
            </w:r>
          </w:p>
        </w:tc>
        <w:tc>
          <w:tcPr>
            <w:tcW w:w="1521" w:type="dxa"/>
            <w:shd w:val="clear" w:color="auto" w:fill="FFFFFF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210412" w:rsidRPr="00210412" w:rsidTr="00A9007F">
        <w:trPr>
          <w:trHeight w:hRule="exact" w:val="699"/>
        </w:trPr>
        <w:tc>
          <w:tcPr>
            <w:tcW w:w="3801" w:type="dxa"/>
            <w:gridSpan w:val="3"/>
            <w:shd w:val="clear" w:color="auto" w:fill="FFFFFF"/>
            <w:vAlign w:val="center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В С Е Г О: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0412" w:rsidRPr="00210412" w:rsidRDefault="008F06DE" w:rsidP="00210412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204</w:t>
            </w:r>
            <w:r w:rsidR="00210412"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10412" w:rsidRPr="00210412" w:rsidRDefault="008F06DE" w:rsidP="00210412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68</w:t>
            </w:r>
            <w:r w:rsidR="00210412" w:rsidRPr="0021041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10412" w:rsidRPr="00210412" w:rsidRDefault="008F06DE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68</w:t>
            </w:r>
            <w:r w:rsidR="00210412" w:rsidRPr="0021041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FFFFFF"/>
          </w:tcPr>
          <w:p w:rsidR="00BF7862" w:rsidRDefault="00BF7862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  <w:p w:rsidR="00210412" w:rsidRPr="00210412" w:rsidRDefault="008F06DE" w:rsidP="002104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68</w:t>
            </w:r>
            <w:r w:rsidR="00210412" w:rsidRPr="0021041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426" w:type="dxa"/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  <w:shd w:val="clear" w:color="auto" w:fill="FFFFFF"/>
          </w:tcPr>
          <w:p w:rsidR="00210412" w:rsidRPr="00210412" w:rsidRDefault="00210412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210412" w:rsidRPr="00210412" w:rsidTr="00A9007F">
        <w:trPr>
          <w:trHeight w:hRule="exact" w:val="491"/>
        </w:trPr>
        <w:tc>
          <w:tcPr>
            <w:tcW w:w="3801" w:type="dxa"/>
            <w:gridSpan w:val="3"/>
            <w:shd w:val="clear" w:color="auto" w:fill="FFFFFF"/>
            <w:vAlign w:val="center"/>
          </w:tcPr>
          <w:p w:rsidR="00210412" w:rsidRPr="00210412" w:rsidRDefault="00210412" w:rsidP="00210412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И Т О Г О</w:t>
            </w:r>
            <w:r w:rsidR="008F06D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1041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en-US"/>
              </w:rPr>
              <w:t>за весь период:</w:t>
            </w:r>
          </w:p>
        </w:tc>
        <w:tc>
          <w:tcPr>
            <w:tcW w:w="6349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10412" w:rsidRPr="00210412" w:rsidRDefault="008F06DE" w:rsidP="00210412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204000</w:t>
            </w:r>
          </w:p>
        </w:tc>
      </w:tr>
    </w:tbl>
    <w:p w:rsidR="00210412" w:rsidRPr="00210412" w:rsidRDefault="00210412" w:rsidP="00210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10412" w:rsidRPr="00210412" w:rsidRDefault="00210412" w:rsidP="0021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412" w:rsidRPr="00210412" w:rsidRDefault="00210412" w:rsidP="00210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FBE" w:rsidRPr="00210412" w:rsidRDefault="00047FBE" w:rsidP="0021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47FBE" w:rsidRPr="00210412" w:rsidSect="0042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047FBE"/>
    <w:rsid w:val="00047FBE"/>
    <w:rsid w:val="001C65A3"/>
    <w:rsid w:val="001E31FA"/>
    <w:rsid w:val="00210412"/>
    <w:rsid w:val="002C07D9"/>
    <w:rsid w:val="00332E9E"/>
    <w:rsid w:val="004219E8"/>
    <w:rsid w:val="006F0668"/>
    <w:rsid w:val="008F06DE"/>
    <w:rsid w:val="009F0D61"/>
    <w:rsid w:val="00A25CD7"/>
    <w:rsid w:val="00A723B9"/>
    <w:rsid w:val="00A77758"/>
    <w:rsid w:val="00A9007F"/>
    <w:rsid w:val="00AC731E"/>
    <w:rsid w:val="00B95430"/>
    <w:rsid w:val="00BF7862"/>
    <w:rsid w:val="00C1133C"/>
    <w:rsid w:val="00D3635F"/>
    <w:rsid w:val="00E40F01"/>
    <w:rsid w:val="00EC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0412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210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907;fld=134" TargetMode="External"/><Relationship Id="rId4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2021-02-05T09:31:00Z</cp:lastPrinted>
  <dcterms:created xsi:type="dcterms:W3CDTF">2021-02-02T03:33:00Z</dcterms:created>
  <dcterms:modified xsi:type="dcterms:W3CDTF">2022-04-01T08:29:00Z</dcterms:modified>
</cp:coreProperties>
</file>