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КИПСКОГО СЕЛЬСКОГО ПОСЕЛЕНИЯ</w:t>
      </w: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79" w:rsidRDefault="003E5179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79" w:rsidRDefault="003E5179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79" w:rsidRDefault="003E5179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608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« 05» апреля  2022                                                                              № 37-п</w:t>
      </w:r>
    </w:p>
    <w:p w:rsidR="00116608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08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08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408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7-п от 05.02.2021 г. «Об утверждении муниципальной целевой программы «Пожарная безопасность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2021-2025 гг.».</w:t>
      </w:r>
    </w:p>
    <w:p w:rsidR="00116608" w:rsidRPr="00210412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08" w:rsidRPr="00210412" w:rsidRDefault="00116608" w:rsidP="00116608">
      <w:pPr>
        <w:pStyle w:val="a3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412">
        <w:rPr>
          <w:rFonts w:ascii="Times New Roman" w:hAnsi="Times New Roman"/>
          <w:sz w:val="24"/>
          <w:szCs w:val="24"/>
        </w:rPr>
        <w:t>В соответствии с Федеральным законом от 21.12.1994 года № 69-ФЗ «О пожарной безопасности», Федеральным законом от 06.10.2003 года № 131</w:t>
      </w:r>
      <w:bookmarkStart w:id="0" w:name="_GoBack"/>
      <w:bookmarkEnd w:id="0"/>
      <w:r w:rsidRPr="00210412">
        <w:rPr>
          <w:rFonts w:ascii="Times New Roman" w:hAnsi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116608" w:rsidRPr="00210412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08" w:rsidRPr="00210412" w:rsidRDefault="00116608" w:rsidP="00116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6608" w:rsidRPr="00210412" w:rsidRDefault="00116608" w:rsidP="001166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униципальную целевую программу 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«Пожарная безопасность на территории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области»  на 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  год и плановый период 2022 и 2023 годов» изложить в новой редакции в соответствии с приложением.</w:t>
      </w:r>
    </w:p>
    <w:p w:rsidR="00116608" w:rsidRPr="006408B2" w:rsidRDefault="00116608" w:rsidP="006408B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Pr="002104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</w:t>
      </w:r>
      <w:r w:rsidRPr="00210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в сети </w:t>
      </w:r>
      <w:r w:rsidRPr="00210412">
        <w:rPr>
          <w:rFonts w:ascii="Times New Roman" w:hAnsi="Times New Roman" w:cs="Times New Roman"/>
          <w:sz w:val="24"/>
          <w:szCs w:val="24"/>
        </w:rPr>
        <w:t xml:space="preserve"> «Интернет».</w:t>
      </w:r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116608" w:rsidRPr="00210412" w:rsidRDefault="00116608" w:rsidP="0011660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16608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6608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6608" w:rsidRPr="00210412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6608" w:rsidRPr="00210412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08" w:rsidRPr="00210412" w:rsidRDefault="00116608" w:rsidP="0011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08" w:rsidRDefault="00116608" w:rsidP="0011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6608" w:rsidRDefault="00116608" w:rsidP="0011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16608" w:rsidRPr="00DE65DB" w:rsidRDefault="00116608" w:rsidP="0011660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116608" w:rsidRDefault="00116608" w:rsidP="00116608">
      <w:pPr>
        <w:spacing w:before="240"/>
        <w:rPr>
          <w:sz w:val="28"/>
          <w:szCs w:val="28"/>
        </w:rPr>
      </w:pPr>
    </w:p>
    <w:p w:rsidR="00116608" w:rsidRDefault="00116608" w:rsidP="00116608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6608" w:rsidRDefault="00116608" w:rsidP="00116608">
      <w:pPr>
        <w:tabs>
          <w:tab w:val="left" w:pos="7035"/>
        </w:tabs>
        <w:rPr>
          <w:sz w:val="28"/>
          <w:szCs w:val="28"/>
        </w:rPr>
      </w:pPr>
    </w:p>
    <w:p w:rsidR="00116608" w:rsidRPr="00210412" w:rsidRDefault="00116608" w:rsidP="00116608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08" w:rsidRDefault="00116608" w:rsidP="0011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08" w:rsidRPr="00210412" w:rsidRDefault="00116608" w:rsidP="0011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08" w:rsidRPr="00210412" w:rsidRDefault="00116608" w:rsidP="00116608">
      <w:pPr>
        <w:tabs>
          <w:tab w:val="left" w:pos="600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:rsidR="00116608" w:rsidRPr="00210412" w:rsidRDefault="00116608" w:rsidP="00116608">
      <w:pPr>
        <w:spacing w:after="0" w:line="240" w:lineRule="auto"/>
        <w:ind w:firstLine="5387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16608" w:rsidRPr="00210412" w:rsidRDefault="00116608" w:rsidP="00116608">
      <w:pPr>
        <w:spacing w:after="0" w:line="240" w:lineRule="auto"/>
        <w:ind w:left="5664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116608" w:rsidRPr="00210412" w:rsidRDefault="00116608" w:rsidP="00116608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 </w:t>
      </w:r>
    </w:p>
    <w:p w:rsidR="00116608" w:rsidRPr="00210412" w:rsidRDefault="00116608" w:rsidP="00116608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Омской области </w:t>
      </w:r>
    </w:p>
    <w:p w:rsidR="00116608" w:rsidRPr="00210412" w:rsidRDefault="00116608" w:rsidP="00116608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 05 » апреля   2022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37-п</w:t>
      </w:r>
    </w:p>
    <w:p w:rsidR="00116608" w:rsidRPr="00210412" w:rsidRDefault="00116608" w:rsidP="001166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16608" w:rsidRPr="00210412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ЦЕЛЕВАЯ ПРОГРАММА</w:t>
      </w: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«Пожарная безопасность на территории </w:t>
      </w:r>
      <w:proofErr w:type="spellStart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района Омской области</w:t>
      </w: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на 2021  год и на плановый период 2022 и 2023 годов»</w:t>
      </w: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Паспорт муниципальной программы  </w:t>
      </w: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«Пожарная безопасность на территории </w:t>
      </w:r>
      <w:proofErr w:type="spellStart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сельского поселения </w:t>
      </w:r>
      <w:proofErr w:type="spellStart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на 2021 год и на плановый период 2022 и 2023 годов»</w:t>
      </w:r>
    </w:p>
    <w:p w:rsidR="00116608" w:rsidRPr="00210412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«Пожарная безопасность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Омской области» 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 и плановый период 2022 и 2023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Омской области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Мероприятия Программы и объемы их финансирования подлежат ежегодной корректировке:</w:t>
            </w:r>
          </w:p>
          <w:p w:rsidR="00116608" w:rsidRPr="00332E9E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- 2021 г. – 68000,00 руб.;</w:t>
            </w:r>
          </w:p>
          <w:p w:rsidR="00116608" w:rsidRPr="00332E9E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- 2022 г. – 68000,00 руб.;</w:t>
            </w:r>
          </w:p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- 2023 г. – 68000,00 руб.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укрепление пожарной безопасности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Кипского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Омской области снижение количества пожаров, гибели и </w:t>
            </w:r>
            <w:proofErr w:type="spellStart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116608" w:rsidRPr="00210412" w:rsidTr="008A1373">
        <w:tc>
          <w:tcPr>
            <w:tcW w:w="3244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116608" w:rsidRPr="00210412" w:rsidRDefault="00116608" w:rsidP="008A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</w:tbl>
    <w:p w:rsidR="00116608" w:rsidRPr="00210412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16608" w:rsidRPr="00116608" w:rsidRDefault="00116608" w:rsidP="00116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1. Общие положения</w:t>
      </w:r>
    </w:p>
    <w:p w:rsidR="00116608" w:rsidRPr="00210412" w:rsidRDefault="00116608" w:rsidP="00116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Муниципальная целевая программа «Пожарная безопасность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Омской области»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2021 год и на плановый период 2022 и 2023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 (далее - Программа) определяет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усиления противопожарной защиты населения и материальных ценностей.</w:t>
      </w:r>
    </w:p>
    <w:p w:rsidR="00116608" w:rsidRPr="00210412" w:rsidRDefault="00116608" w:rsidP="00116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116608" w:rsidRPr="00210412" w:rsidRDefault="00116608" w:rsidP="00116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</w:t>
      </w:r>
      <w:hyperlink r:id="rId4" w:history="1"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2003 г</w:t>
        </w:r>
      </w:smartTag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. № 131-ФЗ «Об общих принципах организации местного самоуправления в Российской Федерации»;</w:t>
      </w:r>
    </w:p>
    <w:p w:rsidR="00116608" w:rsidRPr="00210412" w:rsidRDefault="00116608" w:rsidP="00116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</w:t>
      </w:r>
      <w:hyperlink r:id="rId5" w:history="1"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1994 г</w:t>
        </w:r>
      </w:smartTag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. № 69-ФЗ «О пожарной безопасности»;</w:t>
      </w:r>
    </w:p>
    <w:p w:rsidR="00116608" w:rsidRPr="00210412" w:rsidRDefault="00116608" w:rsidP="00116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Федеральным законом от 22 июля 2008г. № 123-ФЗ «Технический регламент о требованиях пожарной безопасности»</w:t>
      </w:r>
    </w:p>
    <w:p w:rsidR="00210412" w:rsidRPr="00210412" w:rsidRDefault="00210412" w:rsidP="00116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3409A6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>2. Содержание проблемы и обоснование необходимости ее</w:t>
      </w:r>
    </w:p>
    <w:p w:rsidR="00210412" w:rsidRPr="003409A6" w:rsidRDefault="00210412" w:rsidP="003409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программными методами</w:t>
      </w:r>
      <w:r w:rsidR="003409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E40F0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40F0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ведется определенная работа по предупреждению пожаров: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социально неадаптированных граждан.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210412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210412">
        <w:rPr>
          <w:rFonts w:ascii="Times New Roman" w:hAnsi="Times New Roman" w:cs="Times New Roman"/>
          <w:color w:val="000000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B151E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создание муниципальной пожарной охраны;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10412" w:rsidRPr="00210412">
        <w:rPr>
          <w:rFonts w:ascii="Times New Roman" w:hAnsi="Times New Roman" w:cs="Times New Roman"/>
          <w:sz w:val="24"/>
          <w:szCs w:val="24"/>
        </w:rPr>
        <w:t>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10412"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10412"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) разработку и организацию выполнения муниципальных целевых программ по вопросам обеспечения пожарной безопасности;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0412" w:rsidRPr="00210412">
        <w:rPr>
          <w:rFonts w:ascii="Times New Roman" w:hAnsi="Times New Roman" w:cs="Times New Roman"/>
          <w:sz w:val="24"/>
          <w:szCs w:val="24"/>
        </w:rPr>
        <w:t>) разработку плана привлечения сил и сре</w:t>
      </w:r>
      <w:proofErr w:type="gramStart"/>
      <w:r w:rsidR="00210412" w:rsidRPr="00210412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="00210412" w:rsidRPr="00210412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0412" w:rsidRPr="00210412">
        <w:rPr>
          <w:rFonts w:ascii="Times New Roman" w:hAnsi="Times New Roman" w:cs="Times New Roman"/>
          <w:sz w:val="24"/>
          <w:szCs w:val="24"/>
        </w:rPr>
        <w:t>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0412" w:rsidRPr="00210412">
        <w:rPr>
          <w:rFonts w:ascii="Times New Roman" w:hAnsi="Times New Roman" w:cs="Times New Roman"/>
          <w:sz w:val="24"/>
          <w:szCs w:val="24"/>
        </w:rPr>
        <w:t>) обеспечение беспрепятственного проезда пожарной техники к месту пожара;</w:t>
      </w:r>
    </w:p>
    <w:p w:rsidR="004B151E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создание противопожарных минерализованных полос;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412" w:rsidRPr="00210412">
        <w:rPr>
          <w:rFonts w:ascii="Times New Roman" w:hAnsi="Times New Roman" w:cs="Times New Roman"/>
          <w:sz w:val="24"/>
          <w:szCs w:val="24"/>
        </w:rPr>
        <w:t>)  обеспечение связи и оповещения населения о пожаре;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0412" w:rsidRPr="00210412">
        <w:rPr>
          <w:rFonts w:ascii="Times New Roman" w:hAnsi="Times New Roman" w:cs="Times New Roman"/>
          <w:sz w:val="24"/>
          <w:szCs w:val="24"/>
        </w:rPr>
        <w:t>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10412" w:rsidRPr="00210412" w:rsidRDefault="004B151E" w:rsidP="004B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11</w:t>
      </w:r>
      <w:r w:rsidR="00210412" w:rsidRPr="00210412">
        <w:rPr>
          <w:rFonts w:ascii="Times New Roman" w:hAnsi="Times New Roman" w:cs="Times New Roman"/>
          <w:sz w:val="24"/>
          <w:szCs w:val="24"/>
        </w:rPr>
        <w:t>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210412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10412" w:rsidRPr="00210412">
        <w:rPr>
          <w:rFonts w:ascii="Times New Roman" w:hAnsi="Times New Roman" w:cs="Times New Roman"/>
          <w:sz w:val="24"/>
          <w:szCs w:val="24"/>
        </w:rPr>
        <w:t>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10412" w:rsidRPr="00210412">
        <w:rPr>
          <w:rFonts w:ascii="Times New Roman" w:hAnsi="Times New Roman" w:cs="Times New Roman"/>
          <w:sz w:val="24"/>
          <w:szCs w:val="24"/>
        </w:rPr>
        <w:t xml:space="preserve"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</w:t>
      </w:r>
      <w:r>
        <w:rPr>
          <w:rFonts w:ascii="Times New Roman" w:hAnsi="Times New Roman" w:cs="Times New Roman"/>
          <w:sz w:val="24"/>
          <w:szCs w:val="24"/>
        </w:rPr>
        <w:t>и проведения собраний населения;</w:t>
      </w:r>
    </w:p>
    <w:p w:rsidR="004B151E" w:rsidRPr="00210412" w:rsidRDefault="004B151E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установка информационных стендов.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635F" w:rsidRPr="003409A6" w:rsidRDefault="00210412" w:rsidP="003409A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>3. Основные цели и задачи реализации Программы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Основной целью Программы является усиление системы противопожарной защиты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создание необходимых условий для укрепления пожарной безопасности,  уменьшение материального ущерба от пожаров.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 Для ее достижения необходимо решение следующих основных задач: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3.2.2. Повышение готовности добровольной пожарной дружины к тушению пожаров; 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3.3.Период </w:t>
      </w:r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116608">
        <w:rPr>
          <w:rFonts w:ascii="Times New Roman" w:eastAsia="Calibri" w:hAnsi="Times New Roman" w:cs="Times New Roman"/>
          <w:sz w:val="24"/>
          <w:szCs w:val="24"/>
          <w:lang w:eastAsia="en-US"/>
        </w:rPr>
        <w:t>ействия Программы - 3 года (2021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116608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гг.).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Предусмотренные в Программе мероприятия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210412" w:rsidRPr="00210412" w:rsidRDefault="00210412" w:rsidP="004B15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3409A6" w:rsidRDefault="00210412" w:rsidP="003409A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>4. Ресурсное обеспечение Программы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4.1. Программа реализуется за счет средств местного бюджета.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4.2. Объем средств может ежегодно уточняться в установленном порядке.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3409A6" w:rsidRDefault="00210412" w:rsidP="003409A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Организация управления Программой и </w:t>
      </w:r>
      <w:proofErr w:type="gramStart"/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340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ходом ее реализации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Администрация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Общий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реализацией Программы и контроль текущих мероприятий Программы осуществляет глава  администрации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Омского муниципального района Омской области.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116608" w:rsidRDefault="00210412" w:rsidP="003409A6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t>6. Оценка эффективности последствий реализации Программы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6.1. В результате выполнения намеченных мероприятий Программы предполагается: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1) обеспечить сокращение общего количества пожаров и материальных потерь от них;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2)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6608" w:rsidRPr="00210412" w:rsidRDefault="00116608" w:rsidP="00116608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116608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116608" w:rsidRDefault="00210412" w:rsidP="00E40F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116608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210412" w:rsidRPr="00116608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6608">
        <w:rPr>
          <w:rFonts w:ascii="Times New Roman" w:hAnsi="Times New Roman" w:cs="Times New Roman"/>
          <w:bCs/>
          <w:sz w:val="24"/>
          <w:szCs w:val="24"/>
        </w:rPr>
        <w:t xml:space="preserve">мероприятий муниципальной  Программы </w:t>
      </w:r>
    </w:p>
    <w:p w:rsidR="00210412" w:rsidRPr="00116608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6608">
        <w:rPr>
          <w:rFonts w:ascii="Times New Roman" w:hAnsi="Times New Roman" w:cs="Times New Roman"/>
          <w:bCs/>
          <w:sz w:val="24"/>
          <w:szCs w:val="24"/>
        </w:rPr>
        <w:t xml:space="preserve">«По вопросам обеспечения пожарной безопасности </w:t>
      </w:r>
    </w:p>
    <w:p w:rsidR="00210412" w:rsidRPr="00116608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6608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1C65A3" w:rsidRPr="00116608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11660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1C65A3" w:rsidRPr="00116608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11660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 w:rsidR="001C65A3" w:rsidRPr="0011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608">
        <w:rPr>
          <w:rFonts w:ascii="Times New Roman" w:hAnsi="Times New Roman" w:cs="Times New Roman"/>
          <w:bCs/>
          <w:sz w:val="24"/>
          <w:szCs w:val="24"/>
        </w:rPr>
        <w:t>на 20</w:t>
      </w:r>
      <w:r w:rsidR="001C65A3" w:rsidRPr="00116608">
        <w:rPr>
          <w:rFonts w:ascii="Times New Roman" w:hAnsi="Times New Roman" w:cs="Times New Roman"/>
          <w:bCs/>
          <w:sz w:val="24"/>
          <w:szCs w:val="24"/>
        </w:rPr>
        <w:t>21</w:t>
      </w:r>
      <w:r w:rsidRPr="00116608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C65A3" w:rsidRPr="00116608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2022 и 2023</w:t>
      </w:r>
      <w:r w:rsidRPr="00116608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210412" w:rsidRPr="001C65A3" w:rsidRDefault="00210412" w:rsidP="00210412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5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101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3"/>
        <w:gridCol w:w="1896"/>
        <w:gridCol w:w="1432"/>
        <w:gridCol w:w="992"/>
        <w:gridCol w:w="850"/>
        <w:gridCol w:w="709"/>
        <w:gridCol w:w="851"/>
        <w:gridCol w:w="1426"/>
        <w:gridCol w:w="1521"/>
      </w:tblGrid>
      <w:tr w:rsidR="00210412" w:rsidRPr="00210412" w:rsidTr="00A9007F">
        <w:trPr>
          <w:trHeight w:hRule="exact" w:val="647"/>
          <w:tblHeader/>
        </w:trPr>
        <w:tc>
          <w:tcPr>
            <w:tcW w:w="473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/</w:t>
            </w:r>
            <w:proofErr w:type="spell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Мероприятия</w:t>
            </w:r>
          </w:p>
          <w:p w:rsidR="00210412" w:rsidRPr="00210412" w:rsidRDefault="00210412" w:rsidP="0021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Источник 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финансир</w:t>
            </w: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ования</w:t>
            </w: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21041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Срок </w:t>
            </w:r>
            <w:r w:rsidRPr="0021041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исполнения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10412" w:rsidRPr="00210412" w:rsidTr="00A9007F">
        <w:trPr>
          <w:trHeight w:hRule="exact" w:val="326"/>
          <w:tblHeader/>
        </w:trPr>
        <w:tc>
          <w:tcPr>
            <w:tcW w:w="473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20</w:t>
            </w:r>
            <w:r w:rsidR="001C65A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202</w:t>
            </w:r>
            <w:r w:rsidR="001C65A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202</w:t>
            </w:r>
            <w:r w:rsidR="001C65A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1180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Организационное обеспечение реализации</w:t>
            </w: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3143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Разработка и утверждение комплекса мероприятий по </w:t>
            </w:r>
            <w:r w:rsidRPr="00210412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en-US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3 квартал текущего года     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96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Ежегодно 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11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30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889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Мероприятия по тушению пожаров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14</w:t>
            </w:r>
            <w:r w:rsidR="00BF78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48</w:t>
            </w:r>
            <w:r w:rsidR="00BF78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4</w:t>
            </w:r>
            <w:r w:rsidR="00BF78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8000</w:t>
            </w:r>
            <w:r w:rsidR="00210412" w:rsidRPr="0021041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0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4</w:t>
            </w:r>
            <w:r w:rsidR="00BF78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BF7862" w:rsidRPr="00210412" w:rsidTr="00A9007F">
        <w:trPr>
          <w:trHeight w:hRule="exact" w:val="1939"/>
        </w:trPr>
        <w:tc>
          <w:tcPr>
            <w:tcW w:w="473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Выполнение минерализованных полос вокруг населенных пунктов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Кипского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32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850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709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851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426" w:type="dxa"/>
            <w:shd w:val="clear" w:color="auto" w:fill="FFFFFF"/>
          </w:tcPr>
          <w:p w:rsidR="00BF7862" w:rsidRPr="00210412" w:rsidRDefault="00BF786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Весна, осень</w:t>
            </w:r>
          </w:p>
        </w:tc>
        <w:tc>
          <w:tcPr>
            <w:tcW w:w="1521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BF7862" w:rsidRPr="00210412" w:rsidTr="00A9007F">
        <w:trPr>
          <w:trHeight w:hRule="exact" w:val="704"/>
        </w:trPr>
        <w:tc>
          <w:tcPr>
            <w:tcW w:w="473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Убор сухой растительности</w:t>
            </w:r>
          </w:p>
        </w:tc>
        <w:tc>
          <w:tcPr>
            <w:tcW w:w="1432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850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709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851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426" w:type="dxa"/>
            <w:shd w:val="clear" w:color="auto" w:fill="FFFFFF"/>
          </w:tcPr>
          <w:p w:rsidR="009F0D61" w:rsidRDefault="009F0D61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Весна,</w:t>
            </w:r>
          </w:p>
          <w:p w:rsidR="00BF7862" w:rsidRPr="00210412" w:rsidRDefault="009F0D61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1521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1130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состоянием пожарных водоемов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185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Проверка  пожар</w:t>
            </w:r>
            <w:r w:rsidR="00AC73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</w:t>
            </w:r>
            <w:r w:rsidR="00AC73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й 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безопасности помещений, зданий жилого сектора.  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12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68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872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утвержденным графиком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699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204</w:t>
            </w:r>
            <w:r w:rsidR="00210412"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68</w:t>
            </w:r>
            <w:r w:rsidR="00210412"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68</w:t>
            </w:r>
            <w:r w:rsidR="00210412"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FFFFFF"/>
          </w:tcPr>
          <w:p w:rsidR="00BF7862" w:rsidRDefault="00BF786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210412" w:rsidRPr="00210412" w:rsidRDefault="008F06DE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68</w:t>
            </w:r>
            <w:r w:rsidR="00210412"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491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 Т О Г О</w:t>
            </w:r>
            <w:r w:rsidR="008F06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за весь период:</w:t>
            </w:r>
          </w:p>
        </w:tc>
        <w:tc>
          <w:tcPr>
            <w:tcW w:w="6349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204000</w:t>
            </w:r>
          </w:p>
        </w:tc>
      </w:tr>
    </w:tbl>
    <w:p w:rsidR="00210412" w:rsidRPr="00210412" w:rsidRDefault="00210412" w:rsidP="0021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FBE" w:rsidRPr="00210412" w:rsidRDefault="00047FBE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7FBE" w:rsidRPr="00210412" w:rsidSect="0042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47FBE"/>
    <w:rsid w:val="00047FBE"/>
    <w:rsid w:val="00116608"/>
    <w:rsid w:val="001526E1"/>
    <w:rsid w:val="001C65A3"/>
    <w:rsid w:val="001E31FA"/>
    <w:rsid w:val="00210412"/>
    <w:rsid w:val="002C07D9"/>
    <w:rsid w:val="00332E9E"/>
    <w:rsid w:val="003409A6"/>
    <w:rsid w:val="003E5179"/>
    <w:rsid w:val="004219E8"/>
    <w:rsid w:val="004B151E"/>
    <w:rsid w:val="005B5E75"/>
    <w:rsid w:val="006408B2"/>
    <w:rsid w:val="006F0668"/>
    <w:rsid w:val="008F06DE"/>
    <w:rsid w:val="009F0D61"/>
    <w:rsid w:val="00A25CD7"/>
    <w:rsid w:val="00A723B9"/>
    <w:rsid w:val="00A77758"/>
    <w:rsid w:val="00A9007F"/>
    <w:rsid w:val="00AC731E"/>
    <w:rsid w:val="00B95430"/>
    <w:rsid w:val="00BF7862"/>
    <w:rsid w:val="00C1133C"/>
    <w:rsid w:val="00CE2E3F"/>
    <w:rsid w:val="00D3635F"/>
    <w:rsid w:val="00E40F01"/>
    <w:rsid w:val="00EC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0412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210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2022-04-05T02:51:00Z</cp:lastPrinted>
  <dcterms:created xsi:type="dcterms:W3CDTF">2021-02-02T03:33:00Z</dcterms:created>
  <dcterms:modified xsi:type="dcterms:W3CDTF">2022-04-05T02:57:00Z</dcterms:modified>
</cp:coreProperties>
</file>